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AFCD3"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b/>
          <w:bCs/>
          <w:color w:val="222222"/>
          <w:sz w:val="19"/>
          <w:szCs w:val="19"/>
        </w:rPr>
        <w:t>PURPOSE</w:t>
      </w:r>
      <w:r w:rsidRPr="006A6628">
        <w:rPr>
          <w:rFonts w:ascii="Arial" w:eastAsia="Times New Roman" w:hAnsi="Arial" w:cs="Arial"/>
          <w:color w:val="222222"/>
          <w:sz w:val="19"/>
          <w:szCs w:val="19"/>
        </w:rPr>
        <w:t> </w:t>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0B617C66" w14:textId="77777777" w:rsidTr="006A6628">
        <w:trPr>
          <w:trHeight w:val="160"/>
        </w:trPr>
        <w:tc>
          <w:tcPr>
            <w:tcW w:w="5000" w:type="pct"/>
            <w:tcBorders>
              <w:top w:val="single" w:sz="2" w:space="0" w:color="000000"/>
              <w:left w:val="single" w:sz="2" w:space="0" w:color="000000"/>
              <w:bottom w:val="single" w:sz="2" w:space="0" w:color="000000"/>
              <w:right w:val="single" w:sz="2" w:space="0" w:color="000000"/>
            </w:tcBorders>
            <w:shd w:val="clear" w:color="auto" w:fill="800000"/>
            <w:tcMar>
              <w:top w:w="0" w:type="dxa"/>
              <w:left w:w="0" w:type="dxa"/>
              <w:bottom w:w="0" w:type="dxa"/>
              <w:right w:w="0" w:type="dxa"/>
            </w:tcMar>
            <w:hideMark/>
          </w:tcPr>
          <w:p w14:paraId="6BC1F85A" w14:textId="77777777" w:rsidR="006A6628" w:rsidRPr="006A6628" w:rsidRDefault="006A6628" w:rsidP="006A6628">
            <w:pPr>
              <w:rPr>
                <w:rFonts w:ascii="Arial" w:eastAsia="Times New Roman" w:hAnsi="Arial" w:cs="Arial"/>
                <w:sz w:val="16"/>
                <w:szCs w:val="20"/>
              </w:rPr>
            </w:pPr>
          </w:p>
        </w:tc>
      </w:tr>
    </w:tbl>
    <w:p w14:paraId="35EE1784"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To provide indications, contraindications and process for use of misoprostol for purposes of cervical ripening in the outpatient setting. </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b/>
          <w:bCs/>
          <w:color w:val="222222"/>
          <w:sz w:val="19"/>
          <w:szCs w:val="19"/>
        </w:rPr>
        <w:t>SUMMARY</w:t>
      </w:r>
      <w:r w:rsidRPr="006A6628">
        <w:rPr>
          <w:rFonts w:ascii="Arial" w:eastAsia="Times New Roman" w:hAnsi="Arial" w:cs="Arial"/>
          <w:color w:val="222222"/>
          <w:sz w:val="19"/>
          <w:szCs w:val="19"/>
        </w:rPr>
        <w:t> </w:t>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168061CA" w14:textId="77777777" w:rsidTr="006A6628">
        <w:trPr>
          <w:trHeight w:val="160"/>
        </w:trPr>
        <w:tc>
          <w:tcPr>
            <w:tcW w:w="5000" w:type="pct"/>
            <w:tcBorders>
              <w:top w:val="single" w:sz="2" w:space="0" w:color="0060A0"/>
              <w:left w:val="single" w:sz="2" w:space="0" w:color="0060A0"/>
              <w:bottom w:val="single" w:sz="2" w:space="0" w:color="0060A0"/>
              <w:right w:val="single" w:sz="2" w:space="0" w:color="0060A0"/>
            </w:tcBorders>
            <w:shd w:val="clear" w:color="auto" w:fill="800000"/>
            <w:tcMar>
              <w:top w:w="0" w:type="dxa"/>
              <w:left w:w="0" w:type="dxa"/>
              <w:bottom w:w="0" w:type="dxa"/>
              <w:right w:w="0" w:type="dxa"/>
            </w:tcMar>
            <w:hideMark/>
          </w:tcPr>
          <w:p w14:paraId="0A090137" w14:textId="77777777" w:rsidR="006A6628" w:rsidRPr="006A6628" w:rsidRDefault="006A6628" w:rsidP="006A6628">
            <w:pPr>
              <w:rPr>
                <w:rFonts w:ascii="Arial" w:eastAsia="Times New Roman" w:hAnsi="Arial" w:cs="Arial"/>
                <w:sz w:val="16"/>
                <w:szCs w:val="20"/>
              </w:rPr>
            </w:pPr>
          </w:p>
        </w:tc>
      </w:tr>
    </w:tbl>
    <w:p w14:paraId="56344ECF"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The goal of outpatient cervical ripening is to improve the likelihood of presentation with spontaneous labor and avoid an induction of labor.  A secondary goal is to improve the favorability of the cervix for an induction if one is required.  This guideline focuses on late term inductions of labor but could be applied in other circumstances where cervical ripening is desired but a formal induction of labor is not required.</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b/>
          <w:bCs/>
          <w:color w:val="222222"/>
          <w:sz w:val="19"/>
          <w:szCs w:val="19"/>
        </w:rPr>
        <w:t>GUIDELINE INFORMATION</w:t>
      </w:r>
      <w:r w:rsidRPr="006A6628">
        <w:rPr>
          <w:rFonts w:ascii="Arial" w:eastAsia="Times New Roman" w:hAnsi="Arial" w:cs="Arial"/>
          <w:color w:val="222222"/>
          <w:sz w:val="19"/>
          <w:szCs w:val="19"/>
        </w:rPr>
        <w:t> </w:t>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7D520032" w14:textId="77777777" w:rsidTr="006A6628">
        <w:trPr>
          <w:trHeight w:val="160"/>
        </w:trPr>
        <w:tc>
          <w:tcPr>
            <w:tcW w:w="5000" w:type="pct"/>
            <w:tcBorders>
              <w:top w:val="single" w:sz="2" w:space="0" w:color="0060A0"/>
              <w:left w:val="single" w:sz="2" w:space="0" w:color="0060A0"/>
              <w:bottom w:val="single" w:sz="2" w:space="0" w:color="0060A0"/>
              <w:right w:val="single" w:sz="2" w:space="0" w:color="0060A0"/>
            </w:tcBorders>
            <w:shd w:val="clear" w:color="auto" w:fill="800000"/>
            <w:tcMar>
              <w:top w:w="0" w:type="dxa"/>
              <w:left w:w="0" w:type="dxa"/>
              <w:bottom w:w="0" w:type="dxa"/>
              <w:right w:w="0" w:type="dxa"/>
            </w:tcMar>
            <w:hideMark/>
          </w:tcPr>
          <w:p w14:paraId="2FC03F88" w14:textId="77777777" w:rsidR="006A6628" w:rsidRPr="006A6628" w:rsidRDefault="006A6628" w:rsidP="006A6628">
            <w:pPr>
              <w:rPr>
                <w:rFonts w:ascii="Arial" w:eastAsia="Times New Roman" w:hAnsi="Arial" w:cs="Arial"/>
                <w:sz w:val="16"/>
                <w:szCs w:val="20"/>
              </w:rPr>
            </w:pPr>
          </w:p>
        </w:tc>
      </w:tr>
    </w:tbl>
    <w:p w14:paraId="4DDE7C6B"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b/>
          <w:bCs/>
          <w:color w:val="222222"/>
          <w:sz w:val="19"/>
          <w:szCs w:val="19"/>
        </w:rPr>
        <w:t>GENERAL INFORMATION: </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The process and concerns for an induction of labor have been outlined by ACOG in both the guidelines to perinatal care as well as in Practice Bulletin 107, “Induction of Labor” published in 2009 and reaffirmed in 2013.</w:t>
      </w:r>
      <w:r w:rsidRPr="006A6628">
        <w:rPr>
          <w:rFonts w:ascii="Arial" w:eastAsia="Times New Roman" w:hAnsi="Arial" w:cs="Arial"/>
          <w:color w:val="222222"/>
          <w:sz w:val="19"/>
          <w:szCs w:val="19"/>
          <w:vertAlign w:val="superscript"/>
        </w:rPr>
        <w:t>1,8</w:t>
      </w:r>
      <w:r w:rsidRPr="006A6628">
        <w:rPr>
          <w:rFonts w:ascii="Arial" w:eastAsia="Times New Roman" w:hAnsi="Arial" w:cs="Arial"/>
          <w:color w:val="222222"/>
          <w:sz w:val="19"/>
          <w:szCs w:val="19"/>
        </w:rPr>
        <w:t>  These documents outline the indications and process for cervical ripening and induction of labor.  Outpatient cervical ripening is described as an option as well. </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If the cervix is unfavorable for induction, cervical ripening may be beneficial and should be considered. The status of the cervix can be determined by the Bishop pelvic scoring system (See Appendix A).  An unfavorable cervix has been defined most commonly as a Bishop score of 6 or less in most randomized trials.  The goal of cervical ripening is to facilitate the process of cervical softening, thinning, and dilating with resultant reduction in the rate of failed induction and induction to delivery time. If induction is indicated and the status of the cervix is unfavorable, agents for cervical ripening may be used.   </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 xml:space="preserve">Several published studies and meta-analyses have been performed for outpatient cervical ripening.  A study by </w:t>
      </w:r>
      <w:proofErr w:type="spellStart"/>
      <w:r w:rsidRPr="006A6628">
        <w:rPr>
          <w:rFonts w:ascii="Arial" w:eastAsia="Times New Roman" w:hAnsi="Arial" w:cs="Arial"/>
          <w:color w:val="222222"/>
          <w:sz w:val="19"/>
          <w:szCs w:val="19"/>
        </w:rPr>
        <w:t>Gaffaney</w:t>
      </w:r>
      <w:proofErr w:type="spellEnd"/>
      <w:r w:rsidRPr="006A6628">
        <w:rPr>
          <w:rFonts w:ascii="Arial" w:eastAsia="Times New Roman" w:hAnsi="Arial" w:cs="Arial"/>
          <w:color w:val="222222"/>
          <w:sz w:val="19"/>
          <w:szCs w:val="19"/>
        </w:rPr>
        <w:t xml:space="preserve">, et al. found that daily administration of 100 mcg of oral misoprostol compared to placebo in pregnancies at 40-42 weeks decreased the time to admission and time to delivery as well as decreasing the number of women remaining undelivered at the end of the 72 hour study period.6  Another study by McKenna showed that a single dose of 25 mcg vaginal misoprostol decreased the interval to delivery in women with an unfavorable cervix at term.9Misoprostol has been found to be more effective than </w:t>
      </w:r>
      <w:proofErr w:type="spellStart"/>
      <w:r w:rsidRPr="006A6628">
        <w:rPr>
          <w:rFonts w:ascii="Arial" w:eastAsia="Times New Roman" w:hAnsi="Arial" w:cs="Arial"/>
          <w:color w:val="222222"/>
          <w:sz w:val="19"/>
          <w:szCs w:val="19"/>
        </w:rPr>
        <w:t>dinoprostone</w:t>
      </w:r>
      <w:proofErr w:type="spellEnd"/>
      <w:r w:rsidRPr="006A6628">
        <w:rPr>
          <w:rFonts w:ascii="Arial" w:eastAsia="Times New Roman" w:hAnsi="Arial" w:cs="Arial"/>
          <w:color w:val="222222"/>
          <w:sz w:val="19"/>
          <w:szCs w:val="19"/>
        </w:rPr>
        <w:t xml:space="preserve"> (</w:t>
      </w:r>
      <w:proofErr w:type="spellStart"/>
      <w:r w:rsidRPr="006A6628">
        <w:rPr>
          <w:rFonts w:ascii="Arial" w:eastAsia="Times New Roman" w:hAnsi="Arial" w:cs="Arial"/>
          <w:color w:val="222222"/>
          <w:sz w:val="19"/>
          <w:szCs w:val="19"/>
        </w:rPr>
        <w:t>Cervidil</w:t>
      </w:r>
      <w:proofErr w:type="spellEnd"/>
      <w:r w:rsidRPr="006A6628">
        <w:rPr>
          <w:rFonts w:ascii="Arial" w:eastAsia="Times New Roman" w:hAnsi="Arial" w:cs="Arial"/>
          <w:color w:val="222222"/>
          <w:sz w:val="19"/>
          <w:szCs w:val="19"/>
        </w:rPr>
        <w:t>) for cervical ripening and induction of labor.3  A meta-analysis in the Cochrane Database found misoprostol to be as effective as other means of cervical ripening while decreasing the risk for cesarean delivery. 2, 7  </w:t>
      </w:r>
    </w:p>
    <w:p w14:paraId="6B57F141" w14:textId="77777777" w:rsidR="006A6628" w:rsidRPr="006A6628" w:rsidRDefault="006A6628" w:rsidP="006A6628">
      <w:pPr>
        <w:shd w:val="clear" w:color="auto" w:fill="FFFFFF"/>
        <w:spacing w:before="100" w:beforeAutospacing="1" w:after="100" w:afterAutospacing="1"/>
        <w:rPr>
          <w:rFonts w:ascii="Arial" w:hAnsi="Arial" w:cs="Arial"/>
          <w:color w:val="222222"/>
          <w:sz w:val="19"/>
          <w:szCs w:val="19"/>
        </w:rPr>
      </w:pPr>
      <w:r w:rsidRPr="006A6628">
        <w:rPr>
          <w:rFonts w:ascii="Arial" w:hAnsi="Arial" w:cs="Arial"/>
          <w:color w:val="222222"/>
          <w:sz w:val="19"/>
          <w:szCs w:val="19"/>
        </w:rPr>
        <w:t>Misoprostol (</w:t>
      </w:r>
      <w:proofErr w:type="spellStart"/>
      <w:r w:rsidRPr="006A6628">
        <w:rPr>
          <w:rFonts w:ascii="Arial" w:hAnsi="Arial" w:cs="Arial"/>
          <w:color w:val="222222"/>
          <w:sz w:val="19"/>
          <w:szCs w:val="19"/>
        </w:rPr>
        <w:t>Cytotec</w:t>
      </w:r>
      <w:proofErr w:type="spellEnd"/>
      <w:r w:rsidRPr="006A6628">
        <w:rPr>
          <w:rFonts w:ascii="Arial" w:hAnsi="Arial" w:cs="Arial"/>
          <w:color w:val="222222"/>
          <w:sz w:val="19"/>
          <w:szCs w:val="19"/>
        </w:rPr>
        <w:t>), a synthetic PGE</w:t>
      </w:r>
      <w:r w:rsidRPr="006A6628">
        <w:rPr>
          <w:rFonts w:ascii="Arial" w:hAnsi="Arial" w:cs="Arial"/>
          <w:color w:val="222222"/>
          <w:sz w:val="19"/>
          <w:szCs w:val="19"/>
          <w:vertAlign w:val="subscript"/>
        </w:rPr>
        <w:t>1</w:t>
      </w:r>
      <w:r w:rsidRPr="006A6628">
        <w:rPr>
          <w:rFonts w:ascii="Arial" w:hAnsi="Arial" w:cs="Arial"/>
          <w:color w:val="222222"/>
          <w:sz w:val="19"/>
          <w:szCs w:val="19"/>
        </w:rPr>
        <w:t xml:space="preserve"> analogue, can be administered for cervical ripening either </w:t>
      </w:r>
      <w:proofErr w:type="spellStart"/>
      <w:r w:rsidRPr="006A6628">
        <w:rPr>
          <w:rFonts w:ascii="Arial" w:hAnsi="Arial" w:cs="Arial"/>
          <w:color w:val="222222"/>
          <w:sz w:val="19"/>
          <w:szCs w:val="19"/>
        </w:rPr>
        <w:t>intravaginally</w:t>
      </w:r>
      <w:proofErr w:type="spellEnd"/>
      <w:r w:rsidRPr="006A6628">
        <w:rPr>
          <w:rFonts w:ascii="Arial" w:hAnsi="Arial" w:cs="Arial"/>
          <w:color w:val="222222"/>
          <w:sz w:val="19"/>
          <w:szCs w:val="19"/>
        </w:rPr>
        <w:t xml:space="preserve">, orally or </w:t>
      </w:r>
      <w:proofErr w:type="spellStart"/>
      <w:r w:rsidRPr="006A6628">
        <w:rPr>
          <w:rFonts w:ascii="Arial" w:hAnsi="Arial" w:cs="Arial"/>
          <w:color w:val="222222"/>
          <w:sz w:val="19"/>
          <w:szCs w:val="19"/>
        </w:rPr>
        <w:t>buccally</w:t>
      </w:r>
      <w:proofErr w:type="spellEnd"/>
      <w:r w:rsidRPr="006A6628">
        <w:rPr>
          <w:rFonts w:ascii="Arial" w:hAnsi="Arial" w:cs="Arial"/>
          <w:color w:val="222222"/>
          <w:sz w:val="19"/>
          <w:szCs w:val="19"/>
        </w:rPr>
        <w:t>.  There is extensive clinical experience with this agent and a large body of published reports supporting its safety and efficacy when used appropriately.  Misoprostol has been shown to be as effective as other cervical ripening agents with lower cesarean delivery rates.  Misoprostol is approved by the FDA for the treatment of peptic ulcer disease in individuals who are not pregnant.  As of November 2012, the package insert for misoprostol includes the following information about the drug’s Obstetrical use: </w:t>
      </w:r>
      <w:r w:rsidRPr="006A6628">
        <w:rPr>
          <w:rFonts w:ascii="Arial" w:hAnsi="Arial" w:cs="Arial"/>
          <w:color w:val="222222"/>
          <w:sz w:val="19"/>
          <w:szCs w:val="19"/>
        </w:rPr>
        <w:br/>
      </w:r>
      <w:r w:rsidRPr="006A6628">
        <w:rPr>
          <w:rFonts w:ascii="Arial" w:hAnsi="Arial" w:cs="Arial"/>
          <w:color w:val="222222"/>
          <w:sz w:val="19"/>
          <w:szCs w:val="19"/>
        </w:rPr>
        <w:lastRenderedPageBreak/>
        <w:br/>
      </w:r>
      <w:proofErr w:type="spellStart"/>
      <w:r w:rsidRPr="006A6628">
        <w:rPr>
          <w:rFonts w:ascii="Arial" w:hAnsi="Arial" w:cs="Arial"/>
          <w:i/>
          <w:iCs/>
          <w:color w:val="222222"/>
          <w:sz w:val="19"/>
          <w:szCs w:val="19"/>
        </w:rPr>
        <w:t>Cytotec</w:t>
      </w:r>
      <w:proofErr w:type="spellEnd"/>
      <w:r w:rsidRPr="006A6628">
        <w:rPr>
          <w:rFonts w:ascii="Arial" w:hAnsi="Arial" w:cs="Arial"/>
          <w:i/>
          <w:iCs/>
          <w:color w:val="222222"/>
          <w:sz w:val="19"/>
          <w:szCs w:val="19"/>
        </w:rPr>
        <w:t xml:space="preserve"> can induce or augment uterine contractions. Vaginal administration of </w:t>
      </w:r>
      <w:proofErr w:type="spellStart"/>
      <w:r w:rsidRPr="006A6628">
        <w:rPr>
          <w:rFonts w:ascii="Arial" w:hAnsi="Arial" w:cs="Arial"/>
          <w:i/>
          <w:iCs/>
          <w:color w:val="222222"/>
          <w:sz w:val="19"/>
          <w:szCs w:val="19"/>
        </w:rPr>
        <w:t>Cytotec</w:t>
      </w:r>
      <w:proofErr w:type="spellEnd"/>
      <w:r w:rsidRPr="006A6628">
        <w:rPr>
          <w:rFonts w:ascii="Arial" w:hAnsi="Arial" w:cs="Arial"/>
          <w:i/>
          <w:iCs/>
          <w:color w:val="222222"/>
          <w:sz w:val="19"/>
          <w:szCs w:val="19"/>
        </w:rPr>
        <w:t xml:space="preserve">, outside of its approved indication, has been used as a cervical ripening agent, for the induction of labor and for treatment of serious postpartum hemorrhage in the presence of uterine atony. A major adverse effect of the obstetrical use of </w:t>
      </w:r>
      <w:proofErr w:type="spellStart"/>
      <w:r w:rsidRPr="006A6628">
        <w:rPr>
          <w:rFonts w:ascii="Arial" w:hAnsi="Arial" w:cs="Arial"/>
          <w:i/>
          <w:iCs/>
          <w:color w:val="222222"/>
          <w:sz w:val="19"/>
          <w:szCs w:val="19"/>
        </w:rPr>
        <w:t>Cytotec</w:t>
      </w:r>
      <w:proofErr w:type="spellEnd"/>
      <w:r w:rsidRPr="006A6628">
        <w:rPr>
          <w:rFonts w:ascii="Arial" w:hAnsi="Arial" w:cs="Arial"/>
          <w:i/>
          <w:iCs/>
          <w:color w:val="222222"/>
          <w:sz w:val="19"/>
          <w:szCs w:val="19"/>
        </w:rPr>
        <w:t xml:space="preserve"> is </w:t>
      </w:r>
      <w:proofErr w:type="spellStart"/>
      <w:r w:rsidRPr="006A6628">
        <w:rPr>
          <w:rFonts w:ascii="Arial" w:hAnsi="Arial" w:cs="Arial"/>
          <w:i/>
          <w:iCs/>
          <w:color w:val="222222"/>
          <w:sz w:val="19"/>
          <w:szCs w:val="19"/>
        </w:rPr>
        <w:t>hyperstimulation</w:t>
      </w:r>
      <w:proofErr w:type="spellEnd"/>
      <w:r w:rsidRPr="006A6628">
        <w:rPr>
          <w:rFonts w:ascii="Arial" w:hAnsi="Arial" w:cs="Arial"/>
          <w:i/>
          <w:iCs/>
          <w:color w:val="222222"/>
          <w:sz w:val="19"/>
          <w:szCs w:val="19"/>
        </w:rPr>
        <w:t xml:space="preserve"> of the uterus which may progress to uterine tetany with marked impairment of </w:t>
      </w:r>
      <w:proofErr w:type="spellStart"/>
      <w:r w:rsidRPr="006A6628">
        <w:rPr>
          <w:rFonts w:ascii="Arial" w:hAnsi="Arial" w:cs="Arial"/>
          <w:i/>
          <w:iCs/>
          <w:color w:val="222222"/>
          <w:sz w:val="19"/>
          <w:szCs w:val="19"/>
        </w:rPr>
        <w:t>uteroplacental</w:t>
      </w:r>
      <w:proofErr w:type="spellEnd"/>
      <w:r w:rsidRPr="006A6628">
        <w:rPr>
          <w:rFonts w:ascii="Arial" w:hAnsi="Arial" w:cs="Arial"/>
          <w:i/>
          <w:iCs/>
          <w:color w:val="222222"/>
          <w:sz w:val="19"/>
          <w:szCs w:val="19"/>
        </w:rPr>
        <w:t xml:space="preserve"> blood flow, uterine rupture (requiring surgical repair, hysterectomy, and/or </w:t>
      </w:r>
      <w:proofErr w:type="spellStart"/>
      <w:r w:rsidRPr="006A6628">
        <w:rPr>
          <w:rFonts w:ascii="Arial" w:hAnsi="Arial" w:cs="Arial"/>
          <w:i/>
          <w:iCs/>
          <w:color w:val="222222"/>
          <w:sz w:val="19"/>
          <w:szCs w:val="19"/>
        </w:rPr>
        <w:t>salpingo</w:t>
      </w:r>
      <w:proofErr w:type="spellEnd"/>
      <w:r w:rsidRPr="006A6628">
        <w:rPr>
          <w:rFonts w:ascii="Arial" w:hAnsi="Arial" w:cs="Arial"/>
          <w:i/>
          <w:iCs/>
          <w:color w:val="222222"/>
          <w:sz w:val="19"/>
          <w:szCs w:val="19"/>
        </w:rPr>
        <w:t>-oophorectomy), or amniotic fluid embolism. Pelvic pain, retained placenta, severe genital bleeding, shock, fetal bradycardia, and fetal and maternal death have been reported.</w:t>
      </w:r>
      <w:r w:rsidRPr="006A6628">
        <w:rPr>
          <w:rFonts w:ascii="Arial" w:hAnsi="Arial" w:cs="Arial"/>
          <w:color w:val="222222"/>
          <w:sz w:val="19"/>
          <w:szCs w:val="19"/>
        </w:rPr>
        <w:t> </w:t>
      </w:r>
      <w:r w:rsidRPr="006A6628">
        <w:rPr>
          <w:rFonts w:ascii="Arial" w:hAnsi="Arial" w:cs="Arial"/>
          <w:color w:val="222222"/>
          <w:sz w:val="19"/>
          <w:szCs w:val="19"/>
        </w:rPr>
        <w:br/>
      </w:r>
      <w:r w:rsidRPr="006A6628">
        <w:rPr>
          <w:rFonts w:ascii="Arial" w:hAnsi="Arial" w:cs="Arial"/>
          <w:color w:val="222222"/>
          <w:sz w:val="19"/>
          <w:szCs w:val="19"/>
        </w:rPr>
        <w:br/>
      </w:r>
      <w:r w:rsidRPr="006A6628">
        <w:rPr>
          <w:rFonts w:ascii="Arial" w:hAnsi="Arial" w:cs="Arial"/>
          <w:i/>
          <w:iCs/>
          <w:color w:val="222222"/>
          <w:sz w:val="19"/>
          <w:szCs w:val="19"/>
        </w:rPr>
        <w:t xml:space="preserve">There may be an increased risk of uterine </w:t>
      </w:r>
      <w:proofErr w:type="spellStart"/>
      <w:r w:rsidRPr="006A6628">
        <w:rPr>
          <w:rFonts w:ascii="Arial" w:hAnsi="Arial" w:cs="Arial"/>
          <w:i/>
          <w:iCs/>
          <w:color w:val="222222"/>
          <w:sz w:val="19"/>
          <w:szCs w:val="19"/>
        </w:rPr>
        <w:t>tachysystole</w:t>
      </w:r>
      <w:proofErr w:type="spellEnd"/>
      <w:r w:rsidRPr="006A6628">
        <w:rPr>
          <w:rFonts w:ascii="Arial" w:hAnsi="Arial" w:cs="Arial"/>
          <w:i/>
          <w:iCs/>
          <w:color w:val="222222"/>
          <w:sz w:val="19"/>
          <w:szCs w:val="19"/>
        </w:rPr>
        <w:t xml:space="preserve">, uterine rupture, meconium passage, meconium staining of amniotic fluid, and Cesarean delivery due to uterine </w:t>
      </w:r>
      <w:proofErr w:type="spellStart"/>
      <w:r w:rsidRPr="006A6628">
        <w:rPr>
          <w:rFonts w:ascii="Arial" w:hAnsi="Arial" w:cs="Arial"/>
          <w:i/>
          <w:iCs/>
          <w:color w:val="222222"/>
          <w:sz w:val="19"/>
          <w:szCs w:val="19"/>
        </w:rPr>
        <w:t>hyperstimulation</w:t>
      </w:r>
      <w:proofErr w:type="spellEnd"/>
      <w:r w:rsidRPr="006A6628">
        <w:rPr>
          <w:rFonts w:ascii="Arial" w:hAnsi="Arial" w:cs="Arial"/>
          <w:i/>
          <w:iCs/>
          <w:color w:val="222222"/>
          <w:sz w:val="19"/>
          <w:szCs w:val="19"/>
        </w:rPr>
        <w:t xml:space="preserve"> with the use of higher doses of </w:t>
      </w:r>
      <w:proofErr w:type="spellStart"/>
      <w:r w:rsidRPr="006A6628">
        <w:rPr>
          <w:rFonts w:ascii="Arial" w:hAnsi="Arial" w:cs="Arial"/>
          <w:i/>
          <w:iCs/>
          <w:color w:val="222222"/>
          <w:sz w:val="19"/>
          <w:szCs w:val="19"/>
        </w:rPr>
        <w:t>Cytotec</w:t>
      </w:r>
      <w:proofErr w:type="spellEnd"/>
      <w:r w:rsidRPr="006A6628">
        <w:rPr>
          <w:rFonts w:ascii="Arial" w:hAnsi="Arial" w:cs="Arial"/>
          <w:i/>
          <w:iCs/>
          <w:color w:val="222222"/>
          <w:sz w:val="19"/>
          <w:szCs w:val="19"/>
        </w:rPr>
        <w:t xml:space="preserve">; including the manufactured 100 mcg tablet. The risk of uterine rupture increases with advancing gestational ages and with prior uterine surgery, including Cesarean delivery. Grand </w:t>
      </w:r>
      <w:proofErr w:type="spellStart"/>
      <w:r w:rsidRPr="006A6628">
        <w:rPr>
          <w:rFonts w:ascii="Arial" w:hAnsi="Arial" w:cs="Arial"/>
          <w:i/>
          <w:iCs/>
          <w:color w:val="222222"/>
          <w:sz w:val="19"/>
          <w:szCs w:val="19"/>
        </w:rPr>
        <w:t>multiparity</w:t>
      </w:r>
      <w:proofErr w:type="spellEnd"/>
      <w:r w:rsidRPr="006A6628">
        <w:rPr>
          <w:rFonts w:ascii="Arial" w:hAnsi="Arial" w:cs="Arial"/>
          <w:i/>
          <w:iCs/>
          <w:color w:val="222222"/>
          <w:sz w:val="19"/>
          <w:szCs w:val="19"/>
        </w:rPr>
        <w:t xml:space="preserve"> also appears to be a risk factor for uterine rupture.</w:t>
      </w:r>
      <w:r w:rsidRPr="006A6628">
        <w:rPr>
          <w:rFonts w:ascii="Arial" w:hAnsi="Arial" w:cs="Arial"/>
          <w:color w:val="222222"/>
          <w:sz w:val="19"/>
          <w:szCs w:val="19"/>
        </w:rPr>
        <w:t> </w:t>
      </w:r>
      <w:r w:rsidRPr="006A6628">
        <w:rPr>
          <w:rFonts w:ascii="Arial" w:hAnsi="Arial" w:cs="Arial"/>
          <w:color w:val="222222"/>
          <w:sz w:val="19"/>
          <w:szCs w:val="19"/>
        </w:rPr>
        <w:br/>
      </w:r>
      <w:r w:rsidRPr="006A6628">
        <w:rPr>
          <w:rFonts w:ascii="Arial" w:hAnsi="Arial" w:cs="Arial"/>
          <w:color w:val="222222"/>
          <w:sz w:val="19"/>
          <w:szCs w:val="19"/>
        </w:rPr>
        <w:br/>
      </w:r>
      <w:r w:rsidRPr="006A6628">
        <w:rPr>
          <w:rFonts w:ascii="Arial" w:hAnsi="Arial" w:cs="Arial"/>
          <w:i/>
          <w:iCs/>
          <w:color w:val="222222"/>
          <w:sz w:val="19"/>
          <w:szCs w:val="19"/>
        </w:rPr>
        <w:t xml:space="preserve">The effect of </w:t>
      </w:r>
      <w:proofErr w:type="spellStart"/>
      <w:r w:rsidRPr="006A6628">
        <w:rPr>
          <w:rFonts w:ascii="Arial" w:hAnsi="Arial" w:cs="Arial"/>
          <w:i/>
          <w:iCs/>
          <w:color w:val="222222"/>
          <w:sz w:val="19"/>
          <w:szCs w:val="19"/>
        </w:rPr>
        <w:t>Cytotec</w:t>
      </w:r>
      <w:proofErr w:type="spellEnd"/>
      <w:r w:rsidRPr="006A6628">
        <w:rPr>
          <w:rFonts w:ascii="Arial" w:hAnsi="Arial" w:cs="Arial"/>
          <w:i/>
          <w:iCs/>
          <w:color w:val="222222"/>
          <w:sz w:val="19"/>
          <w:szCs w:val="19"/>
        </w:rPr>
        <w:t xml:space="preserve"> on the later growth, development, and functional maturation of the child when </w:t>
      </w:r>
      <w:proofErr w:type="spellStart"/>
      <w:r w:rsidRPr="006A6628">
        <w:rPr>
          <w:rFonts w:ascii="Arial" w:hAnsi="Arial" w:cs="Arial"/>
          <w:i/>
          <w:iCs/>
          <w:color w:val="222222"/>
          <w:sz w:val="19"/>
          <w:szCs w:val="19"/>
        </w:rPr>
        <w:t>Cytotec</w:t>
      </w:r>
      <w:proofErr w:type="spellEnd"/>
      <w:r w:rsidRPr="006A6628">
        <w:rPr>
          <w:rFonts w:ascii="Arial" w:hAnsi="Arial" w:cs="Arial"/>
          <w:i/>
          <w:iCs/>
          <w:color w:val="222222"/>
          <w:sz w:val="19"/>
          <w:szCs w:val="19"/>
        </w:rPr>
        <w:t xml:space="preserve"> is used for cervical ripening or induction of labor have not been established. Information on </w:t>
      </w:r>
      <w:proofErr w:type="spellStart"/>
      <w:r w:rsidRPr="006A6628">
        <w:rPr>
          <w:rFonts w:ascii="Arial" w:hAnsi="Arial" w:cs="Arial"/>
          <w:i/>
          <w:iCs/>
          <w:color w:val="222222"/>
          <w:sz w:val="19"/>
          <w:szCs w:val="19"/>
        </w:rPr>
        <w:t>Cytotec’s</w:t>
      </w:r>
      <w:proofErr w:type="spellEnd"/>
      <w:r w:rsidRPr="006A6628">
        <w:rPr>
          <w:rFonts w:ascii="Arial" w:hAnsi="Arial" w:cs="Arial"/>
          <w:i/>
          <w:iCs/>
          <w:color w:val="222222"/>
          <w:sz w:val="19"/>
          <w:szCs w:val="19"/>
        </w:rPr>
        <w:t xml:space="preserve"> effect on the need for forceps delivery or other intervention is unknown.</w:t>
      </w:r>
      <w:r w:rsidRPr="006A6628">
        <w:rPr>
          <w:rFonts w:ascii="Arial" w:hAnsi="Arial" w:cs="Arial"/>
          <w:color w:val="222222"/>
          <w:sz w:val="19"/>
          <w:szCs w:val="19"/>
        </w:rPr>
        <w:t> </w:t>
      </w:r>
      <w:r w:rsidRPr="006A6628">
        <w:rPr>
          <w:rFonts w:ascii="Arial" w:hAnsi="Arial" w:cs="Arial"/>
          <w:color w:val="222222"/>
          <w:sz w:val="19"/>
          <w:szCs w:val="19"/>
        </w:rPr>
        <w:br/>
      </w:r>
      <w:r w:rsidRPr="006A6628">
        <w:rPr>
          <w:rFonts w:ascii="Arial" w:hAnsi="Arial" w:cs="Arial"/>
          <w:color w:val="222222"/>
          <w:sz w:val="19"/>
          <w:szCs w:val="19"/>
        </w:rPr>
        <w:br/>
      </w:r>
      <w:r w:rsidRPr="006A6628">
        <w:rPr>
          <w:rFonts w:ascii="Arial" w:hAnsi="Arial" w:cs="Arial"/>
          <w:b/>
          <w:bCs/>
          <w:color w:val="222222"/>
          <w:sz w:val="19"/>
          <w:szCs w:val="19"/>
        </w:rPr>
        <w:t>GUIDELINE:</w:t>
      </w:r>
    </w:p>
    <w:p w14:paraId="27CF4965" w14:textId="77777777" w:rsidR="006A6628" w:rsidRPr="006A6628" w:rsidRDefault="006A6628" w:rsidP="006A6628">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p>
    <w:p w14:paraId="563F680E" w14:textId="77777777" w:rsidR="006A6628" w:rsidRPr="006A6628" w:rsidRDefault="006A6628" w:rsidP="006A6628">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For patients who reach 41 weeks gestational age, a determination of the cervical favorability is made at an office visit.  </w:t>
      </w:r>
    </w:p>
    <w:p w14:paraId="5987BC0C" w14:textId="77777777" w:rsidR="006A6628" w:rsidRPr="006A6628" w:rsidRDefault="006A6628" w:rsidP="006A6628">
      <w:pPr>
        <w:numPr>
          <w:ilvl w:val="1"/>
          <w:numId w:val="3"/>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For patients with a favorable cervix, either expectant management with serial antenatal testing or induction of labor may be pursued.  </w:t>
      </w:r>
    </w:p>
    <w:p w14:paraId="474605D4" w14:textId="77777777" w:rsidR="006A6628" w:rsidRPr="006A6628" w:rsidRDefault="006A6628" w:rsidP="006A6628">
      <w:pPr>
        <w:numPr>
          <w:ilvl w:val="1"/>
          <w:numId w:val="4"/>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For patients with an unfavorable cervix, either expectant management with serial antenatal testing or outpatient cervical ripening can be pursued (See Appendix B for flow-chart)</w:t>
      </w:r>
    </w:p>
    <w:p w14:paraId="645A7E50" w14:textId="77777777" w:rsidR="006A6628" w:rsidRPr="006A6628" w:rsidRDefault="006A6628" w:rsidP="006A6628">
      <w:pPr>
        <w:numPr>
          <w:ilvl w:val="0"/>
          <w:numId w:val="5"/>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 xml:space="preserve">For patients who are </w:t>
      </w:r>
      <w:proofErr w:type="spellStart"/>
      <w:r w:rsidRPr="006A6628">
        <w:rPr>
          <w:rFonts w:ascii="Arial" w:eastAsia="Times New Roman" w:hAnsi="Arial" w:cs="Arial"/>
          <w:color w:val="222222"/>
          <w:sz w:val="19"/>
          <w:szCs w:val="19"/>
        </w:rPr>
        <w:t>are</w:t>
      </w:r>
      <w:proofErr w:type="spellEnd"/>
      <w:r w:rsidRPr="006A6628">
        <w:rPr>
          <w:rFonts w:ascii="Arial" w:eastAsia="Times New Roman" w:hAnsi="Arial" w:cs="Arial"/>
          <w:color w:val="222222"/>
          <w:sz w:val="19"/>
          <w:szCs w:val="19"/>
        </w:rPr>
        <w:t xml:space="preserve"> undergoing a medically indicated induction and who have no contraindications (see 3f and 3g), a determination of the cervical favorability is made at an office visit.</w:t>
      </w:r>
    </w:p>
    <w:p w14:paraId="7EACBD44" w14:textId="77777777" w:rsidR="006A6628" w:rsidRPr="006A6628" w:rsidRDefault="006A6628" w:rsidP="006A6628">
      <w:pPr>
        <w:numPr>
          <w:ilvl w:val="1"/>
          <w:numId w:val="6"/>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For patients with a favorable cervix, induction of labor may be pursued</w:t>
      </w:r>
    </w:p>
    <w:p w14:paraId="43E5E3B9" w14:textId="77777777" w:rsidR="006A6628" w:rsidRPr="006A6628" w:rsidRDefault="006A6628" w:rsidP="006A6628">
      <w:pPr>
        <w:numPr>
          <w:ilvl w:val="1"/>
          <w:numId w:val="7"/>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For patients with an unfavorable cervix, outpatient cervical ripening may be pursued</w:t>
      </w:r>
    </w:p>
    <w:p w14:paraId="655DFA29" w14:textId="77777777" w:rsidR="006A6628" w:rsidRPr="006A6628" w:rsidRDefault="006A6628" w:rsidP="006A6628">
      <w:pPr>
        <w:numPr>
          <w:ilvl w:val="0"/>
          <w:numId w:val="8"/>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For patients undergoing cervical ripening, the patient should be assessed for eligibility for administration of misoprostol.  This assessment should include documentation of:</w:t>
      </w:r>
    </w:p>
    <w:p w14:paraId="6152DB72" w14:textId="77777777" w:rsidR="006A6628" w:rsidRPr="006A6628" w:rsidRDefault="006A6628" w:rsidP="006A6628">
      <w:pPr>
        <w:numPr>
          <w:ilvl w:val="1"/>
          <w:numId w:val="9"/>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Gestational age (use of misoprostol for induction is contraindicated at less than 39 0/7 completed weeks, unless a medical reason exists to justify earlier delivery)</w:t>
      </w:r>
    </w:p>
    <w:p w14:paraId="42B99B7A" w14:textId="77777777" w:rsidR="006A6628" w:rsidRPr="006A6628" w:rsidRDefault="006A6628" w:rsidP="006A6628">
      <w:pPr>
        <w:numPr>
          <w:ilvl w:val="1"/>
          <w:numId w:val="10"/>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Bishop score</w:t>
      </w:r>
    </w:p>
    <w:p w14:paraId="658E62D9" w14:textId="77777777" w:rsidR="006A6628" w:rsidRPr="006A6628" w:rsidRDefault="006A6628" w:rsidP="006A6628">
      <w:pPr>
        <w:numPr>
          <w:ilvl w:val="1"/>
          <w:numId w:val="11"/>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Clinical adequacy of the maternal pelvis</w:t>
      </w:r>
    </w:p>
    <w:p w14:paraId="2272FC45" w14:textId="77777777" w:rsidR="006A6628" w:rsidRPr="006A6628" w:rsidRDefault="006A6628" w:rsidP="006A6628">
      <w:pPr>
        <w:numPr>
          <w:ilvl w:val="1"/>
          <w:numId w:val="12"/>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Estimated fetal weight, by Leopold’s maneuvers or ultrasound</w:t>
      </w:r>
    </w:p>
    <w:p w14:paraId="3044A9F3" w14:textId="77777777" w:rsidR="006A6628" w:rsidRPr="006A6628" w:rsidRDefault="006A6628" w:rsidP="006A6628">
      <w:pPr>
        <w:numPr>
          <w:ilvl w:val="1"/>
          <w:numId w:val="13"/>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lastRenderedPageBreak/>
        <w:t>Presenting fetal part</w:t>
      </w:r>
    </w:p>
    <w:p w14:paraId="5538A2AC" w14:textId="77777777" w:rsidR="006A6628" w:rsidRPr="006A6628" w:rsidRDefault="006A6628" w:rsidP="006A6628">
      <w:pPr>
        <w:numPr>
          <w:ilvl w:val="1"/>
          <w:numId w:val="14"/>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 xml:space="preserve">Absence of contraindication to vaginal delivery (e.g., placenta or vasa </w:t>
      </w:r>
      <w:proofErr w:type="spellStart"/>
      <w:r w:rsidRPr="006A6628">
        <w:rPr>
          <w:rFonts w:ascii="Arial" w:eastAsia="Times New Roman" w:hAnsi="Arial" w:cs="Arial"/>
          <w:color w:val="222222"/>
          <w:sz w:val="19"/>
          <w:szCs w:val="19"/>
        </w:rPr>
        <w:t>previa</w:t>
      </w:r>
      <w:proofErr w:type="spellEnd"/>
      <w:r w:rsidRPr="006A6628">
        <w:rPr>
          <w:rFonts w:ascii="Arial" w:eastAsia="Times New Roman" w:hAnsi="Arial" w:cs="Arial"/>
          <w:color w:val="222222"/>
          <w:sz w:val="19"/>
          <w:szCs w:val="19"/>
        </w:rPr>
        <w:t>, transverse lie, previous classical Cesarean delivery, active genital herpes, previous extensive uterine surgery)</w:t>
      </w:r>
    </w:p>
    <w:p w14:paraId="78C580B0" w14:textId="77777777" w:rsidR="006A6628" w:rsidRPr="006A6628" w:rsidRDefault="006A6628" w:rsidP="006A6628">
      <w:pPr>
        <w:numPr>
          <w:ilvl w:val="1"/>
          <w:numId w:val="15"/>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Reassuring fetal status.  Non-reassuring fetal heart tracing, oligohydramnios, growth restriction, or other questionable fetal status are generally contraindications to outpatient cervical ripening</w:t>
      </w:r>
    </w:p>
    <w:p w14:paraId="4BE6E8D5" w14:textId="77777777" w:rsidR="006A6628" w:rsidRPr="006A6628" w:rsidRDefault="006A6628" w:rsidP="006A6628">
      <w:pPr>
        <w:numPr>
          <w:ilvl w:val="0"/>
          <w:numId w:val="16"/>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The patient should be counseled regarding the use, risks and benefits to labor induction and misoprostol, including informing the patient of current FDA labeling of misoprostol.  </w:t>
      </w:r>
    </w:p>
    <w:p w14:paraId="747F07D2" w14:textId="77777777" w:rsidR="006A6628" w:rsidRPr="006A6628" w:rsidRDefault="006A6628" w:rsidP="006A6628">
      <w:pPr>
        <w:numPr>
          <w:ilvl w:val="0"/>
          <w:numId w:val="17"/>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Patients who opt for outpatient cervical ripening will be booked through triage.</w:t>
      </w:r>
    </w:p>
    <w:p w14:paraId="485BF854" w14:textId="77777777" w:rsidR="006A6628" w:rsidRPr="006A6628" w:rsidRDefault="006A6628" w:rsidP="006A6628">
      <w:pPr>
        <w:numPr>
          <w:ilvl w:val="0"/>
          <w:numId w:val="18"/>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When a patient presents for outpatient cervical ripening, the preferred area will be MSCU where the patient will have initial assessment and external fetal monitoring initiated.  (NOTE: location for assessment and monitoring is preferred in MSCU but an alternative location may be discussed through the collaborative discussion between the BU Charge nurse, MSCU team leader and physician/CNM.  Staffing, patient acuity and other factors should be considered if alternate location is determined to be necessary) </w:t>
      </w:r>
    </w:p>
    <w:p w14:paraId="0B527DDE" w14:textId="77777777" w:rsidR="006A6628" w:rsidRPr="006A6628" w:rsidRDefault="006A6628" w:rsidP="006A6628">
      <w:pPr>
        <w:numPr>
          <w:ilvl w:val="1"/>
          <w:numId w:val="19"/>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 xml:space="preserve">If uterine </w:t>
      </w:r>
      <w:proofErr w:type="spellStart"/>
      <w:r w:rsidRPr="006A6628">
        <w:rPr>
          <w:rFonts w:ascii="Arial" w:eastAsia="Times New Roman" w:hAnsi="Arial" w:cs="Arial"/>
          <w:color w:val="222222"/>
          <w:sz w:val="19"/>
          <w:szCs w:val="19"/>
        </w:rPr>
        <w:t>tachysystole</w:t>
      </w:r>
      <w:proofErr w:type="spellEnd"/>
      <w:r w:rsidRPr="006A6628">
        <w:rPr>
          <w:rFonts w:ascii="Arial" w:eastAsia="Times New Roman" w:hAnsi="Arial" w:cs="Arial"/>
          <w:color w:val="222222"/>
          <w:sz w:val="19"/>
          <w:szCs w:val="19"/>
        </w:rPr>
        <w:t xml:space="preserve"> is noted or if the patient is clinically in labor, misoprostol should not be administered under this protocol.  </w:t>
      </w:r>
    </w:p>
    <w:p w14:paraId="76B36ED5" w14:textId="77777777" w:rsidR="006A6628" w:rsidRPr="006A6628" w:rsidRDefault="006A6628" w:rsidP="006A6628">
      <w:pPr>
        <w:numPr>
          <w:ilvl w:val="0"/>
          <w:numId w:val="20"/>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The provider will review the process of outpatient cervical ripening and obtain consent prior to initiating the process. (see attached consent)</w:t>
      </w:r>
    </w:p>
    <w:p w14:paraId="5CAFE2A1" w14:textId="77777777" w:rsidR="006A6628" w:rsidRPr="006A6628" w:rsidRDefault="006A6628" w:rsidP="006A6628">
      <w:pPr>
        <w:numPr>
          <w:ilvl w:val="0"/>
          <w:numId w:val="21"/>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 xml:space="preserve">After achieving a Category 1 Non-Stress Test, 25 mcg misoprostol may be administered orally, </w:t>
      </w:r>
      <w:proofErr w:type="spellStart"/>
      <w:r w:rsidRPr="006A6628">
        <w:rPr>
          <w:rFonts w:ascii="Arial" w:eastAsia="Times New Roman" w:hAnsi="Arial" w:cs="Arial"/>
          <w:color w:val="222222"/>
          <w:sz w:val="19"/>
          <w:szCs w:val="19"/>
        </w:rPr>
        <w:t>buccally</w:t>
      </w:r>
      <w:proofErr w:type="spellEnd"/>
      <w:r w:rsidRPr="006A6628">
        <w:rPr>
          <w:rFonts w:ascii="Arial" w:eastAsia="Times New Roman" w:hAnsi="Arial" w:cs="Arial"/>
          <w:color w:val="222222"/>
          <w:sz w:val="19"/>
          <w:szCs w:val="19"/>
        </w:rPr>
        <w:t xml:space="preserve"> or vaginally per physician/CNM order.  </w:t>
      </w:r>
    </w:p>
    <w:p w14:paraId="62962110" w14:textId="77777777" w:rsidR="006A6628" w:rsidRPr="006A6628" w:rsidRDefault="006A6628" w:rsidP="006A6628">
      <w:pPr>
        <w:numPr>
          <w:ilvl w:val="0"/>
          <w:numId w:val="22"/>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Following administration of misoprostol, the fetal heart rate and uterine activity will be electronically monitored for 60 minutes.  </w:t>
      </w:r>
    </w:p>
    <w:p w14:paraId="347F5634" w14:textId="77777777" w:rsidR="006A6628" w:rsidRPr="006A6628" w:rsidRDefault="006A6628" w:rsidP="006A6628">
      <w:pPr>
        <w:numPr>
          <w:ilvl w:val="0"/>
          <w:numId w:val="23"/>
        </w:numPr>
        <w:shd w:val="clear" w:color="auto" w:fill="FFFFFF"/>
        <w:spacing w:before="100" w:beforeAutospacing="1" w:after="100"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If the fetal testing is Category 1 Non-Stress Test, the patient will be sent home with an appointment to return either:</w:t>
      </w:r>
    </w:p>
    <w:p w14:paraId="141AD83E" w14:textId="77777777" w:rsidR="006A6628" w:rsidRPr="006A6628" w:rsidRDefault="006A6628" w:rsidP="006A6628">
      <w:pPr>
        <w:numPr>
          <w:ilvl w:val="1"/>
          <w:numId w:val="24"/>
        </w:numPr>
        <w:shd w:val="clear" w:color="auto" w:fill="FFFFFF"/>
        <w:spacing w:before="100" w:beforeAutospacing="1" w:after="100" w:afterAutospacing="1"/>
        <w:ind w:left="1890"/>
        <w:rPr>
          <w:rFonts w:ascii="Arial" w:eastAsia="Times New Roman" w:hAnsi="Arial" w:cs="Arial"/>
          <w:color w:val="222222"/>
          <w:sz w:val="19"/>
          <w:szCs w:val="19"/>
        </w:rPr>
      </w:pPr>
      <w:r w:rsidRPr="006A6628">
        <w:rPr>
          <w:rFonts w:ascii="Arial" w:eastAsia="Times New Roman" w:hAnsi="Arial" w:cs="Arial"/>
          <w:color w:val="222222"/>
          <w:sz w:val="19"/>
          <w:szCs w:val="19"/>
        </w:rPr>
        <w:t>4 hours later to assess need for a second dose of misoprostol </w:t>
      </w:r>
    </w:p>
    <w:p w14:paraId="64E683B6" w14:textId="77777777" w:rsidR="006A6628" w:rsidRPr="006A6628" w:rsidRDefault="006A6628" w:rsidP="006A6628">
      <w:pPr>
        <w:shd w:val="clear" w:color="auto" w:fill="FFFFFF"/>
        <w:spacing w:before="100" w:beforeAutospacing="1" w:after="100" w:afterAutospacing="1"/>
        <w:ind w:left="1890"/>
        <w:rPr>
          <w:rFonts w:ascii="Arial" w:hAnsi="Arial" w:cs="Arial"/>
          <w:color w:val="222222"/>
          <w:sz w:val="19"/>
          <w:szCs w:val="19"/>
        </w:rPr>
      </w:pPr>
      <w:r w:rsidRPr="006A6628">
        <w:rPr>
          <w:rFonts w:ascii="Arial" w:hAnsi="Arial" w:cs="Arial"/>
          <w:b/>
          <w:bCs/>
          <w:color w:val="222222"/>
          <w:sz w:val="19"/>
          <w:szCs w:val="19"/>
        </w:rPr>
        <w:t>OR</w:t>
      </w:r>
    </w:p>
    <w:p w14:paraId="7A57B801" w14:textId="77777777" w:rsidR="006A6628" w:rsidRPr="006A6628" w:rsidRDefault="006A6628" w:rsidP="006A6628">
      <w:pPr>
        <w:numPr>
          <w:ilvl w:val="0"/>
          <w:numId w:val="23"/>
        </w:numPr>
        <w:shd w:val="clear" w:color="auto" w:fill="FFFFFF"/>
        <w:spacing w:beforeAutospacing="1" w:afterAutospacing="1"/>
        <w:ind w:left="945"/>
        <w:rPr>
          <w:rFonts w:ascii="Arial" w:eastAsia="Times New Roman" w:hAnsi="Arial" w:cs="Arial"/>
          <w:color w:val="222222"/>
          <w:sz w:val="19"/>
          <w:szCs w:val="19"/>
        </w:rPr>
      </w:pPr>
      <w:r w:rsidRPr="006A6628">
        <w:rPr>
          <w:rFonts w:ascii="Arial" w:eastAsia="Times New Roman" w:hAnsi="Arial" w:cs="Arial"/>
          <w:color w:val="222222"/>
          <w:sz w:val="19"/>
          <w:szCs w:val="19"/>
        </w:rPr>
        <w:t>        </w:t>
      </w:r>
    </w:p>
    <w:p w14:paraId="123AE4DE" w14:textId="77777777" w:rsidR="006A6628" w:rsidRPr="006A6628" w:rsidRDefault="006A6628" w:rsidP="006A6628">
      <w:pPr>
        <w:numPr>
          <w:ilvl w:val="0"/>
          <w:numId w:val="23"/>
        </w:numPr>
        <w:shd w:val="clear" w:color="auto" w:fill="FFFFFF"/>
        <w:spacing w:before="100" w:beforeAutospacing="1" w:after="100" w:afterAutospacing="1"/>
        <w:ind w:left="945"/>
        <w:rPr>
          <w:rFonts w:ascii="Arial" w:hAnsi="Arial" w:cs="Arial"/>
          <w:color w:val="222222"/>
          <w:sz w:val="19"/>
          <w:szCs w:val="19"/>
        </w:rPr>
      </w:pPr>
      <w:r w:rsidRPr="006A6628">
        <w:rPr>
          <w:rFonts w:ascii="Arial" w:hAnsi="Arial" w:cs="Arial"/>
          <w:color w:val="222222"/>
          <w:sz w:val="19"/>
          <w:szCs w:val="19"/>
        </w:rPr>
        <w:t>b.   Within 24 hours for assessment and determination of plan of care related to additional misoprostol administration or admission for induction.</w:t>
      </w:r>
    </w:p>
    <w:p w14:paraId="786ADEB4" w14:textId="77777777" w:rsidR="006A6628" w:rsidRPr="006A6628" w:rsidRDefault="006A6628" w:rsidP="006A6628">
      <w:pPr>
        <w:numPr>
          <w:ilvl w:val="0"/>
          <w:numId w:val="23"/>
        </w:numPr>
        <w:shd w:val="clear" w:color="auto" w:fill="FFFFFF"/>
        <w:spacing w:before="100" w:beforeAutospacing="1" w:after="100" w:afterAutospacing="1"/>
        <w:ind w:left="945"/>
        <w:rPr>
          <w:rFonts w:ascii="Arial" w:hAnsi="Arial" w:cs="Arial"/>
          <w:color w:val="222222"/>
          <w:sz w:val="19"/>
          <w:szCs w:val="19"/>
        </w:rPr>
      </w:pPr>
      <w:r w:rsidRPr="006A6628">
        <w:rPr>
          <w:rFonts w:ascii="Arial" w:hAnsi="Arial" w:cs="Arial"/>
          <w:color w:val="222222"/>
          <w:sz w:val="19"/>
          <w:szCs w:val="19"/>
        </w:rPr>
        <w:t>c.  The patient will be provided post procedure instructions including when to return or notify their provider.</w:t>
      </w:r>
    </w:p>
    <w:p w14:paraId="36EE993A"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t>10.  If fetal testing is not Category 1, notify OB provider for additional assessment/interventions.</w:t>
      </w:r>
    </w:p>
    <w:p w14:paraId="7A790708" w14:textId="77777777" w:rsidR="006A6628" w:rsidRPr="006A6628" w:rsidRDefault="006A6628" w:rsidP="006A6628">
      <w:pPr>
        <w:shd w:val="clear" w:color="auto" w:fill="FFFFFF"/>
        <w:spacing w:before="100" w:beforeAutospacing="1" w:after="100" w:afterAutospacing="1"/>
        <w:rPr>
          <w:rFonts w:ascii="Arial" w:hAnsi="Arial" w:cs="Arial"/>
          <w:color w:val="222222"/>
          <w:sz w:val="19"/>
          <w:szCs w:val="19"/>
        </w:rPr>
      </w:pPr>
      <w:r w:rsidRPr="006A6628">
        <w:rPr>
          <w:rFonts w:ascii="Arial" w:hAnsi="Arial" w:cs="Arial"/>
          <w:color w:val="222222"/>
          <w:sz w:val="19"/>
          <w:szCs w:val="19"/>
        </w:rPr>
        <w:br/>
      </w:r>
      <w:r w:rsidRPr="006A6628">
        <w:rPr>
          <w:rFonts w:ascii="Arial" w:hAnsi="Arial" w:cs="Arial"/>
          <w:color w:val="222222"/>
          <w:sz w:val="19"/>
          <w:szCs w:val="19"/>
        </w:rPr>
        <w:br/>
      </w:r>
      <w:r w:rsidRPr="006A6628">
        <w:rPr>
          <w:rFonts w:ascii="Arial" w:hAnsi="Arial" w:cs="Arial"/>
          <w:color w:val="222222"/>
          <w:sz w:val="19"/>
          <w:szCs w:val="19"/>
        </w:rPr>
        <w:br/>
        <w:t>APPENDIX A </w:t>
      </w:r>
      <w:r w:rsidRPr="006A6628">
        <w:rPr>
          <w:rFonts w:ascii="Arial" w:hAnsi="Arial" w:cs="Arial"/>
          <w:color w:val="222222"/>
          <w:sz w:val="19"/>
          <w:szCs w:val="19"/>
        </w:rPr>
        <w:br/>
      </w:r>
      <w:r w:rsidRPr="006A6628">
        <w:rPr>
          <w:rFonts w:ascii="Arial" w:hAnsi="Arial" w:cs="Arial"/>
          <w:color w:val="222222"/>
          <w:sz w:val="19"/>
          <w:szCs w:val="19"/>
        </w:rPr>
        <w:br/>
        <w:t>Bishop Score </w:t>
      </w:r>
      <w:r w:rsidRPr="006A6628">
        <w:rPr>
          <w:rFonts w:ascii="Arial" w:hAnsi="Arial" w:cs="Arial"/>
          <w:color w:val="222222"/>
          <w:sz w:val="19"/>
          <w:szCs w:val="19"/>
        </w:rPr>
        <w:br/>
      </w:r>
      <w:r w:rsidRPr="006A6628">
        <w:rPr>
          <w:rFonts w:ascii="Arial" w:hAnsi="Arial" w:cs="Arial"/>
          <w:color w:val="222222"/>
          <w:sz w:val="19"/>
          <w:szCs w:val="19"/>
        </w:rPr>
        <w:lastRenderedPageBreak/>
        <w:br/>
      </w:r>
    </w:p>
    <w:p w14:paraId="100FAA41" w14:textId="77777777" w:rsidR="006A6628" w:rsidRPr="006A6628" w:rsidRDefault="006A6628" w:rsidP="006A6628">
      <w:pPr>
        <w:rPr>
          <w:rFonts w:ascii="Times" w:eastAsia="Times New Roman" w:hAnsi="Times" w:cs="Times New Roman"/>
          <w:sz w:val="20"/>
          <w:szCs w:val="20"/>
        </w:rPr>
      </w:pPr>
    </w:p>
    <w:p w14:paraId="44034C44"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From “Induction of Labor,” ACOG Practice Bulletin 107, Published 2009, Reaffirmed 2013. </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APPENDIX B: </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 xml:space="preserve">Late Term Algorithm - ** Buccal </w:t>
      </w:r>
      <w:proofErr w:type="spellStart"/>
      <w:r w:rsidRPr="006A6628">
        <w:rPr>
          <w:rFonts w:ascii="Arial" w:eastAsia="Times New Roman" w:hAnsi="Arial" w:cs="Arial"/>
          <w:color w:val="222222"/>
          <w:sz w:val="19"/>
          <w:szCs w:val="19"/>
        </w:rPr>
        <w:t>misoprosol</w:t>
      </w:r>
      <w:proofErr w:type="spellEnd"/>
      <w:r w:rsidRPr="006A6628">
        <w:rPr>
          <w:rFonts w:ascii="Arial" w:eastAsia="Times New Roman" w:hAnsi="Arial" w:cs="Arial"/>
          <w:color w:val="222222"/>
          <w:sz w:val="19"/>
          <w:szCs w:val="19"/>
        </w:rPr>
        <w:t xml:space="preserve"> administration is also acceptable for outpatient cervical ripening </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p>
    <w:p w14:paraId="4D919F93" w14:textId="77777777" w:rsidR="006A6628" w:rsidRPr="006A6628" w:rsidRDefault="006A6628" w:rsidP="006A6628">
      <w:pPr>
        <w:rPr>
          <w:rFonts w:ascii="Times" w:eastAsia="Times New Roman" w:hAnsi="Times" w:cs="Times New Roman"/>
          <w:sz w:val="20"/>
          <w:szCs w:val="20"/>
        </w:rPr>
      </w:pPr>
    </w:p>
    <w:p w14:paraId="66A3A031"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b/>
          <w:bCs/>
          <w:color w:val="222222"/>
          <w:sz w:val="19"/>
          <w:szCs w:val="19"/>
        </w:rPr>
        <w:t>REFERENCES</w:t>
      </w:r>
      <w:r w:rsidRPr="006A6628">
        <w:rPr>
          <w:rFonts w:ascii="Arial" w:eastAsia="Times New Roman" w:hAnsi="Arial" w:cs="Arial"/>
          <w:color w:val="222222"/>
          <w:sz w:val="19"/>
          <w:szCs w:val="19"/>
        </w:rPr>
        <w:t> </w:t>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39F9F175" w14:textId="77777777" w:rsidTr="006A6628">
        <w:trPr>
          <w:trHeight w:val="160"/>
        </w:trPr>
        <w:tc>
          <w:tcPr>
            <w:tcW w:w="5000" w:type="pct"/>
            <w:tcBorders>
              <w:top w:val="single" w:sz="2" w:space="0" w:color="000000"/>
              <w:left w:val="single" w:sz="2" w:space="0" w:color="000000"/>
              <w:bottom w:val="single" w:sz="2" w:space="0" w:color="000000"/>
              <w:right w:val="single" w:sz="2" w:space="0" w:color="000000"/>
            </w:tcBorders>
            <w:shd w:val="clear" w:color="auto" w:fill="800000"/>
            <w:tcMar>
              <w:top w:w="0" w:type="dxa"/>
              <w:left w:w="0" w:type="dxa"/>
              <w:bottom w:w="0" w:type="dxa"/>
              <w:right w:w="0" w:type="dxa"/>
            </w:tcMar>
            <w:hideMark/>
          </w:tcPr>
          <w:p w14:paraId="2E45772E" w14:textId="77777777" w:rsidR="006A6628" w:rsidRPr="006A6628" w:rsidRDefault="006A6628" w:rsidP="006A6628">
            <w:pPr>
              <w:rPr>
                <w:rFonts w:ascii="Arial" w:eastAsia="Times New Roman" w:hAnsi="Arial" w:cs="Arial"/>
                <w:sz w:val="16"/>
                <w:szCs w:val="20"/>
              </w:rPr>
            </w:pPr>
          </w:p>
        </w:tc>
      </w:tr>
    </w:tbl>
    <w:p w14:paraId="44B0F5DD"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1.        ACOG Guidelines for Perinatal Care, Seventh Edition, Copyright October 2012, by the American Academy of Pediatric sand the American College of Obstetricians and Gynecologists</w:t>
      </w:r>
      <w:r w:rsidRPr="006A6628">
        <w:rPr>
          <w:rFonts w:ascii="Arial" w:eastAsia="Times New Roman" w:hAnsi="Arial" w:cs="Arial"/>
          <w:color w:val="222222"/>
          <w:sz w:val="19"/>
          <w:szCs w:val="19"/>
        </w:rPr>
        <w:br/>
        <w:t>2.        </w:t>
      </w:r>
      <w:proofErr w:type="spellStart"/>
      <w:r w:rsidRPr="006A6628">
        <w:rPr>
          <w:rFonts w:ascii="Arial" w:eastAsia="Times New Roman" w:hAnsi="Arial" w:cs="Arial"/>
          <w:color w:val="222222"/>
          <w:sz w:val="19"/>
          <w:szCs w:val="19"/>
        </w:rPr>
        <w:t>Alfirevic</w:t>
      </w:r>
      <w:proofErr w:type="spellEnd"/>
      <w:r w:rsidRPr="006A6628">
        <w:rPr>
          <w:rFonts w:ascii="Arial" w:eastAsia="Times New Roman" w:hAnsi="Arial" w:cs="Arial"/>
          <w:color w:val="222222"/>
          <w:sz w:val="19"/>
          <w:szCs w:val="19"/>
        </w:rPr>
        <w:t xml:space="preserve"> Z, Weeks A.  “Oral misoprostol for induction of </w:t>
      </w:r>
      <w:proofErr w:type="spellStart"/>
      <w:r w:rsidRPr="006A6628">
        <w:rPr>
          <w:rFonts w:ascii="Arial" w:eastAsia="Times New Roman" w:hAnsi="Arial" w:cs="Arial"/>
          <w:color w:val="222222"/>
          <w:sz w:val="19"/>
          <w:szCs w:val="19"/>
        </w:rPr>
        <w:t>labour</w:t>
      </w:r>
      <w:proofErr w:type="spellEnd"/>
      <w:r w:rsidRPr="006A6628">
        <w:rPr>
          <w:rFonts w:ascii="Arial" w:eastAsia="Times New Roman" w:hAnsi="Arial" w:cs="Arial"/>
          <w:color w:val="222222"/>
          <w:sz w:val="19"/>
          <w:szCs w:val="19"/>
        </w:rPr>
        <w:t xml:space="preserve"> (review)” Cochrane Library 2010, Issue 1.</w:t>
      </w:r>
      <w:r w:rsidRPr="006A6628">
        <w:rPr>
          <w:rFonts w:ascii="Arial" w:eastAsia="Times New Roman" w:hAnsi="Arial" w:cs="Arial"/>
          <w:color w:val="222222"/>
          <w:sz w:val="19"/>
          <w:szCs w:val="19"/>
        </w:rPr>
        <w:br/>
        <w:t xml:space="preserve">3.        Austin SC, Sanchez-Ramos L, Adair D. “Labor induction with intravaginal misoprostol compared with the </w:t>
      </w:r>
      <w:proofErr w:type="spellStart"/>
      <w:r w:rsidRPr="006A6628">
        <w:rPr>
          <w:rFonts w:ascii="Arial" w:eastAsia="Times New Roman" w:hAnsi="Arial" w:cs="Arial"/>
          <w:color w:val="222222"/>
          <w:sz w:val="19"/>
          <w:szCs w:val="19"/>
        </w:rPr>
        <w:t>dinoprostone</w:t>
      </w:r>
      <w:proofErr w:type="spellEnd"/>
      <w:r w:rsidRPr="006A6628">
        <w:rPr>
          <w:rFonts w:ascii="Arial" w:eastAsia="Times New Roman" w:hAnsi="Arial" w:cs="Arial"/>
          <w:color w:val="222222"/>
          <w:sz w:val="19"/>
          <w:szCs w:val="19"/>
        </w:rPr>
        <w:t xml:space="preserve"> insert: a systematic review and </w:t>
      </w:r>
      <w:proofErr w:type="spellStart"/>
      <w:r w:rsidRPr="006A6628">
        <w:rPr>
          <w:rFonts w:ascii="Arial" w:eastAsia="Times New Roman" w:hAnsi="Arial" w:cs="Arial"/>
          <w:color w:val="222222"/>
          <w:sz w:val="19"/>
          <w:szCs w:val="19"/>
        </w:rPr>
        <w:t>metaanalysis</w:t>
      </w:r>
      <w:proofErr w:type="spellEnd"/>
      <w:r w:rsidRPr="006A6628">
        <w:rPr>
          <w:rFonts w:ascii="Arial" w:eastAsia="Times New Roman" w:hAnsi="Arial" w:cs="Arial"/>
          <w:color w:val="222222"/>
          <w:sz w:val="19"/>
          <w:szCs w:val="19"/>
        </w:rPr>
        <w:t xml:space="preserve">” Am J </w:t>
      </w:r>
      <w:proofErr w:type="spellStart"/>
      <w:r w:rsidRPr="006A6628">
        <w:rPr>
          <w:rFonts w:ascii="Arial" w:eastAsia="Times New Roman" w:hAnsi="Arial" w:cs="Arial"/>
          <w:color w:val="222222"/>
          <w:sz w:val="19"/>
          <w:szCs w:val="19"/>
        </w:rPr>
        <w:t>Obstet</w:t>
      </w:r>
      <w:proofErr w:type="spellEnd"/>
      <w:r w:rsidRPr="006A6628">
        <w:rPr>
          <w:rFonts w:ascii="Arial" w:eastAsia="Times New Roman" w:hAnsi="Arial" w:cs="Arial"/>
          <w:color w:val="222222"/>
          <w:sz w:val="19"/>
          <w:szCs w:val="19"/>
        </w:rPr>
        <w:t xml:space="preserve"> </w:t>
      </w:r>
      <w:proofErr w:type="spellStart"/>
      <w:r w:rsidRPr="006A6628">
        <w:rPr>
          <w:rFonts w:ascii="Arial" w:eastAsia="Times New Roman" w:hAnsi="Arial" w:cs="Arial"/>
          <w:color w:val="222222"/>
          <w:sz w:val="19"/>
          <w:szCs w:val="19"/>
        </w:rPr>
        <w:t>Gynecol</w:t>
      </w:r>
      <w:proofErr w:type="spellEnd"/>
      <w:r w:rsidRPr="006A6628">
        <w:rPr>
          <w:rFonts w:ascii="Arial" w:eastAsia="Times New Roman" w:hAnsi="Arial" w:cs="Arial"/>
          <w:color w:val="222222"/>
          <w:sz w:val="19"/>
          <w:szCs w:val="19"/>
        </w:rPr>
        <w:t>, 2010; 202: 624.e1-9.</w:t>
      </w:r>
      <w:r w:rsidRPr="006A6628">
        <w:rPr>
          <w:rFonts w:ascii="Arial" w:eastAsia="Times New Roman" w:hAnsi="Arial" w:cs="Arial"/>
          <w:color w:val="222222"/>
          <w:sz w:val="19"/>
          <w:szCs w:val="19"/>
        </w:rPr>
        <w:br/>
        <w:t xml:space="preserve">4.        Bishop EH. Pelvic scoring for elective induction. </w:t>
      </w:r>
      <w:proofErr w:type="spellStart"/>
      <w:r w:rsidRPr="006A6628">
        <w:rPr>
          <w:rFonts w:ascii="Arial" w:eastAsia="Times New Roman" w:hAnsi="Arial" w:cs="Arial"/>
          <w:color w:val="222222"/>
          <w:sz w:val="19"/>
          <w:szCs w:val="19"/>
        </w:rPr>
        <w:t>Obstet</w:t>
      </w:r>
      <w:proofErr w:type="spellEnd"/>
      <w:r w:rsidRPr="006A6628">
        <w:rPr>
          <w:rFonts w:ascii="Arial" w:eastAsia="Times New Roman" w:hAnsi="Arial" w:cs="Arial"/>
          <w:color w:val="222222"/>
          <w:sz w:val="19"/>
          <w:szCs w:val="19"/>
        </w:rPr>
        <w:t xml:space="preserve"> </w:t>
      </w:r>
      <w:proofErr w:type="spellStart"/>
      <w:r w:rsidRPr="006A6628">
        <w:rPr>
          <w:rFonts w:ascii="Arial" w:eastAsia="Times New Roman" w:hAnsi="Arial" w:cs="Arial"/>
          <w:color w:val="222222"/>
          <w:sz w:val="19"/>
          <w:szCs w:val="19"/>
        </w:rPr>
        <w:t>Gynecol</w:t>
      </w:r>
      <w:proofErr w:type="spellEnd"/>
      <w:r w:rsidRPr="006A6628">
        <w:rPr>
          <w:rFonts w:ascii="Arial" w:eastAsia="Times New Roman" w:hAnsi="Arial" w:cs="Arial"/>
          <w:color w:val="222222"/>
          <w:sz w:val="19"/>
          <w:szCs w:val="19"/>
        </w:rPr>
        <w:t xml:space="preserve"> 1964; 24: 266-8</w:t>
      </w:r>
      <w:r w:rsidRPr="006A6628">
        <w:rPr>
          <w:rFonts w:ascii="Arial" w:eastAsia="Times New Roman" w:hAnsi="Arial" w:cs="Arial"/>
          <w:color w:val="222222"/>
          <w:sz w:val="19"/>
          <w:szCs w:val="19"/>
        </w:rPr>
        <w:br/>
        <w:t>5.        </w:t>
      </w:r>
      <w:proofErr w:type="spellStart"/>
      <w:r w:rsidRPr="006A6628">
        <w:rPr>
          <w:rFonts w:ascii="Arial" w:eastAsia="Times New Roman" w:hAnsi="Arial" w:cs="Arial"/>
          <w:color w:val="222222"/>
          <w:sz w:val="19"/>
          <w:szCs w:val="19"/>
        </w:rPr>
        <w:t>Doswell</w:t>
      </w:r>
      <w:proofErr w:type="spellEnd"/>
      <w:r w:rsidRPr="006A6628">
        <w:rPr>
          <w:rFonts w:ascii="Arial" w:eastAsia="Times New Roman" w:hAnsi="Arial" w:cs="Arial"/>
          <w:color w:val="222222"/>
          <w:sz w:val="19"/>
          <w:szCs w:val="19"/>
        </w:rPr>
        <w:t xml:space="preserve"> T, Kelly AJ, </w:t>
      </w:r>
      <w:proofErr w:type="spellStart"/>
      <w:r w:rsidRPr="006A6628">
        <w:rPr>
          <w:rFonts w:ascii="Arial" w:eastAsia="Times New Roman" w:hAnsi="Arial" w:cs="Arial"/>
          <w:color w:val="222222"/>
          <w:sz w:val="19"/>
          <w:szCs w:val="19"/>
        </w:rPr>
        <w:t>Livio</w:t>
      </w:r>
      <w:proofErr w:type="spellEnd"/>
      <w:r w:rsidRPr="006A6628">
        <w:rPr>
          <w:rFonts w:ascii="Arial" w:eastAsia="Times New Roman" w:hAnsi="Arial" w:cs="Arial"/>
          <w:color w:val="222222"/>
          <w:sz w:val="19"/>
          <w:szCs w:val="19"/>
        </w:rPr>
        <w:t xml:space="preserve"> S, Norman JE, </w:t>
      </w:r>
      <w:proofErr w:type="spellStart"/>
      <w:r w:rsidRPr="006A6628">
        <w:rPr>
          <w:rFonts w:ascii="Arial" w:eastAsia="Times New Roman" w:hAnsi="Arial" w:cs="Arial"/>
          <w:color w:val="222222"/>
          <w:sz w:val="19"/>
          <w:szCs w:val="19"/>
        </w:rPr>
        <w:t>Alfirevic</w:t>
      </w:r>
      <w:proofErr w:type="spellEnd"/>
      <w:r w:rsidRPr="006A6628">
        <w:rPr>
          <w:rFonts w:ascii="Arial" w:eastAsia="Times New Roman" w:hAnsi="Arial" w:cs="Arial"/>
          <w:color w:val="222222"/>
          <w:sz w:val="19"/>
          <w:szCs w:val="19"/>
        </w:rPr>
        <w:t xml:space="preserve"> Z. “Different methods for the induction of </w:t>
      </w:r>
      <w:proofErr w:type="spellStart"/>
      <w:r w:rsidRPr="006A6628">
        <w:rPr>
          <w:rFonts w:ascii="Arial" w:eastAsia="Times New Roman" w:hAnsi="Arial" w:cs="Arial"/>
          <w:color w:val="222222"/>
          <w:sz w:val="19"/>
          <w:szCs w:val="19"/>
        </w:rPr>
        <w:t>labour</w:t>
      </w:r>
      <w:proofErr w:type="spellEnd"/>
      <w:r w:rsidRPr="006A6628">
        <w:rPr>
          <w:rFonts w:ascii="Arial" w:eastAsia="Times New Roman" w:hAnsi="Arial" w:cs="Arial"/>
          <w:color w:val="222222"/>
          <w:sz w:val="19"/>
          <w:szCs w:val="19"/>
        </w:rPr>
        <w:t xml:space="preserve"> in outpatient settings (Review)” Cochrane Library 2010, issue 8.</w:t>
      </w:r>
      <w:r w:rsidRPr="006A6628">
        <w:rPr>
          <w:rFonts w:ascii="Arial" w:eastAsia="Times New Roman" w:hAnsi="Arial" w:cs="Arial"/>
          <w:color w:val="222222"/>
          <w:sz w:val="19"/>
          <w:szCs w:val="19"/>
        </w:rPr>
        <w:br/>
        <w:t>6.        </w:t>
      </w:r>
      <w:proofErr w:type="spellStart"/>
      <w:r w:rsidRPr="006A6628">
        <w:rPr>
          <w:rFonts w:ascii="Arial" w:eastAsia="Times New Roman" w:hAnsi="Arial" w:cs="Arial"/>
          <w:color w:val="222222"/>
          <w:sz w:val="19"/>
          <w:szCs w:val="19"/>
        </w:rPr>
        <w:t>Gaffaney</w:t>
      </w:r>
      <w:proofErr w:type="spellEnd"/>
      <w:r w:rsidRPr="006A6628">
        <w:rPr>
          <w:rFonts w:ascii="Arial" w:eastAsia="Times New Roman" w:hAnsi="Arial" w:cs="Arial"/>
          <w:color w:val="222222"/>
          <w:sz w:val="19"/>
          <w:szCs w:val="19"/>
        </w:rPr>
        <w:t xml:space="preserve"> </w:t>
      </w:r>
      <w:proofErr w:type="gramStart"/>
      <w:r w:rsidRPr="006A6628">
        <w:rPr>
          <w:rFonts w:ascii="Arial" w:eastAsia="Times New Roman" w:hAnsi="Arial" w:cs="Arial"/>
          <w:color w:val="222222"/>
          <w:sz w:val="19"/>
          <w:szCs w:val="19"/>
        </w:rPr>
        <w:t>CA ,</w:t>
      </w:r>
      <w:proofErr w:type="gramEnd"/>
      <w:r w:rsidRPr="006A6628">
        <w:rPr>
          <w:rFonts w:ascii="Arial" w:eastAsia="Times New Roman" w:hAnsi="Arial" w:cs="Arial"/>
          <w:color w:val="222222"/>
          <w:sz w:val="19"/>
          <w:szCs w:val="19"/>
        </w:rPr>
        <w:t xml:space="preserve"> Saul LL, </w:t>
      </w:r>
      <w:proofErr w:type="spellStart"/>
      <w:r w:rsidRPr="006A6628">
        <w:rPr>
          <w:rFonts w:ascii="Arial" w:eastAsia="Times New Roman" w:hAnsi="Arial" w:cs="Arial"/>
          <w:color w:val="222222"/>
          <w:sz w:val="19"/>
          <w:szCs w:val="19"/>
        </w:rPr>
        <w:t>Rumney</w:t>
      </w:r>
      <w:proofErr w:type="spellEnd"/>
      <w:r w:rsidRPr="006A6628">
        <w:rPr>
          <w:rFonts w:ascii="Arial" w:eastAsia="Times New Roman" w:hAnsi="Arial" w:cs="Arial"/>
          <w:color w:val="222222"/>
          <w:sz w:val="19"/>
          <w:szCs w:val="19"/>
        </w:rPr>
        <w:t xml:space="preserve"> PJ, Morrison EH, Thomas S, </w:t>
      </w:r>
      <w:proofErr w:type="spellStart"/>
      <w:r w:rsidRPr="006A6628">
        <w:rPr>
          <w:rFonts w:ascii="Arial" w:eastAsia="Times New Roman" w:hAnsi="Arial" w:cs="Arial"/>
          <w:color w:val="222222"/>
          <w:sz w:val="19"/>
          <w:szCs w:val="19"/>
        </w:rPr>
        <w:t>Nageotte</w:t>
      </w:r>
      <w:proofErr w:type="spellEnd"/>
      <w:r w:rsidRPr="006A6628">
        <w:rPr>
          <w:rFonts w:ascii="Arial" w:eastAsia="Times New Roman" w:hAnsi="Arial" w:cs="Arial"/>
          <w:color w:val="222222"/>
          <w:sz w:val="19"/>
          <w:szCs w:val="19"/>
        </w:rPr>
        <w:t xml:space="preserve"> MP, Wing DA. “Outpatient oral misoprostol for prolonged pregnancies: a pilot investigation.” Am J </w:t>
      </w:r>
      <w:proofErr w:type="spellStart"/>
      <w:r w:rsidRPr="006A6628">
        <w:rPr>
          <w:rFonts w:ascii="Arial" w:eastAsia="Times New Roman" w:hAnsi="Arial" w:cs="Arial"/>
          <w:color w:val="222222"/>
          <w:sz w:val="19"/>
          <w:szCs w:val="19"/>
        </w:rPr>
        <w:t>Perinatol</w:t>
      </w:r>
      <w:proofErr w:type="spellEnd"/>
      <w:r w:rsidRPr="006A6628">
        <w:rPr>
          <w:rFonts w:ascii="Arial" w:eastAsia="Times New Roman" w:hAnsi="Arial" w:cs="Arial"/>
          <w:color w:val="222222"/>
          <w:sz w:val="19"/>
          <w:szCs w:val="19"/>
        </w:rPr>
        <w:t>, 2009; 26(9): 673-7.</w:t>
      </w:r>
      <w:r w:rsidRPr="006A6628">
        <w:rPr>
          <w:rFonts w:ascii="Arial" w:eastAsia="Times New Roman" w:hAnsi="Arial" w:cs="Arial"/>
          <w:color w:val="222222"/>
          <w:sz w:val="19"/>
          <w:szCs w:val="19"/>
        </w:rPr>
        <w:br/>
        <w:t>7.        </w:t>
      </w:r>
      <w:proofErr w:type="spellStart"/>
      <w:r w:rsidRPr="006A6628">
        <w:rPr>
          <w:rFonts w:ascii="Arial" w:eastAsia="Times New Roman" w:hAnsi="Arial" w:cs="Arial"/>
          <w:color w:val="222222"/>
          <w:sz w:val="19"/>
          <w:szCs w:val="19"/>
        </w:rPr>
        <w:t>Hofmeyr</w:t>
      </w:r>
      <w:proofErr w:type="spellEnd"/>
      <w:r w:rsidRPr="006A6628">
        <w:rPr>
          <w:rFonts w:ascii="Arial" w:eastAsia="Times New Roman" w:hAnsi="Arial" w:cs="Arial"/>
          <w:color w:val="222222"/>
          <w:sz w:val="19"/>
          <w:szCs w:val="19"/>
        </w:rPr>
        <w:t xml:space="preserve"> GJ, </w:t>
      </w:r>
      <w:proofErr w:type="spellStart"/>
      <w:r w:rsidRPr="006A6628">
        <w:rPr>
          <w:rFonts w:ascii="Arial" w:eastAsia="Times New Roman" w:hAnsi="Arial" w:cs="Arial"/>
          <w:color w:val="222222"/>
          <w:sz w:val="19"/>
          <w:szCs w:val="19"/>
        </w:rPr>
        <w:t>Gulmezoglu</w:t>
      </w:r>
      <w:proofErr w:type="spellEnd"/>
      <w:r w:rsidRPr="006A6628">
        <w:rPr>
          <w:rFonts w:ascii="Arial" w:eastAsia="Times New Roman" w:hAnsi="Arial" w:cs="Arial"/>
          <w:color w:val="222222"/>
          <w:sz w:val="19"/>
          <w:szCs w:val="19"/>
        </w:rPr>
        <w:t xml:space="preserve"> AM, </w:t>
      </w:r>
      <w:proofErr w:type="spellStart"/>
      <w:r w:rsidRPr="006A6628">
        <w:rPr>
          <w:rFonts w:ascii="Arial" w:eastAsia="Times New Roman" w:hAnsi="Arial" w:cs="Arial"/>
          <w:color w:val="222222"/>
          <w:sz w:val="19"/>
          <w:szCs w:val="19"/>
        </w:rPr>
        <w:t>Pileggi</w:t>
      </w:r>
      <w:proofErr w:type="spellEnd"/>
      <w:r w:rsidRPr="006A6628">
        <w:rPr>
          <w:rFonts w:ascii="Arial" w:eastAsia="Times New Roman" w:hAnsi="Arial" w:cs="Arial"/>
          <w:color w:val="222222"/>
          <w:sz w:val="19"/>
          <w:szCs w:val="19"/>
        </w:rPr>
        <w:t xml:space="preserve"> C.  “Vaginal misoprostol for cervical ripening and induction of </w:t>
      </w:r>
      <w:proofErr w:type="spellStart"/>
      <w:r w:rsidRPr="006A6628">
        <w:rPr>
          <w:rFonts w:ascii="Arial" w:eastAsia="Times New Roman" w:hAnsi="Arial" w:cs="Arial"/>
          <w:color w:val="222222"/>
          <w:sz w:val="19"/>
          <w:szCs w:val="19"/>
        </w:rPr>
        <w:t>labour</w:t>
      </w:r>
      <w:proofErr w:type="spellEnd"/>
      <w:r w:rsidRPr="006A6628">
        <w:rPr>
          <w:rFonts w:ascii="Arial" w:eastAsia="Times New Roman" w:hAnsi="Arial" w:cs="Arial"/>
          <w:color w:val="222222"/>
          <w:sz w:val="19"/>
          <w:szCs w:val="19"/>
        </w:rPr>
        <w:t xml:space="preserve"> (Review)” Cochrane Library, 2013, Issue 1.</w:t>
      </w:r>
      <w:r w:rsidRPr="006A6628">
        <w:rPr>
          <w:rFonts w:ascii="Arial" w:eastAsia="Times New Roman" w:hAnsi="Arial" w:cs="Arial"/>
          <w:color w:val="222222"/>
          <w:sz w:val="19"/>
          <w:szCs w:val="19"/>
        </w:rPr>
        <w:br/>
        <w:t xml:space="preserve">8.        “Induction of Labor.”  ACOG Practice </w:t>
      </w:r>
      <w:proofErr w:type="gramStart"/>
      <w:r w:rsidRPr="006A6628">
        <w:rPr>
          <w:rFonts w:ascii="Arial" w:eastAsia="Times New Roman" w:hAnsi="Arial" w:cs="Arial"/>
          <w:color w:val="222222"/>
          <w:sz w:val="19"/>
          <w:szCs w:val="19"/>
        </w:rPr>
        <w:t>bulletin</w:t>
      </w:r>
      <w:proofErr w:type="gramEnd"/>
      <w:r w:rsidRPr="006A6628">
        <w:rPr>
          <w:rFonts w:ascii="Arial" w:eastAsia="Times New Roman" w:hAnsi="Arial" w:cs="Arial"/>
          <w:color w:val="222222"/>
          <w:sz w:val="19"/>
          <w:szCs w:val="19"/>
        </w:rPr>
        <w:t xml:space="preserve"> No. 107. American College of Obstetricians and </w:t>
      </w:r>
      <w:proofErr w:type="spellStart"/>
      <w:r w:rsidRPr="006A6628">
        <w:rPr>
          <w:rFonts w:ascii="Arial" w:eastAsia="Times New Roman" w:hAnsi="Arial" w:cs="Arial"/>
          <w:color w:val="222222"/>
          <w:sz w:val="19"/>
          <w:szCs w:val="19"/>
        </w:rPr>
        <w:t>Gynecolgists</w:t>
      </w:r>
      <w:proofErr w:type="spellEnd"/>
      <w:r w:rsidRPr="006A6628">
        <w:rPr>
          <w:rFonts w:ascii="Arial" w:eastAsia="Times New Roman" w:hAnsi="Arial" w:cs="Arial"/>
          <w:color w:val="222222"/>
          <w:sz w:val="19"/>
          <w:szCs w:val="19"/>
        </w:rPr>
        <w:t xml:space="preserve">. </w:t>
      </w:r>
      <w:proofErr w:type="spellStart"/>
      <w:r w:rsidRPr="006A6628">
        <w:rPr>
          <w:rFonts w:ascii="Arial" w:eastAsia="Times New Roman" w:hAnsi="Arial" w:cs="Arial"/>
          <w:color w:val="222222"/>
          <w:sz w:val="19"/>
          <w:szCs w:val="19"/>
        </w:rPr>
        <w:t>Obstet</w:t>
      </w:r>
      <w:proofErr w:type="spellEnd"/>
      <w:r w:rsidRPr="006A6628">
        <w:rPr>
          <w:rFonts w:ascii="Arial" w:eastAsia="Times New Roman" w:hAnsi="Arial" w:cs="Arial"/>
          <w:color w:val="222222"/>
          <w:sz w:val="19"/>
          <w:szCs w:val="19"/>
        </w:rPr>
        <w:t xml:space="preserve"> </w:t>
      </w:r>
      <w:proofErr w:type="spellStart"/>
      <w:r w:rsidRPr="006A6628">
        <w:rPr>
          <w:rFonts w:ascii="Arial" w:eastAsia="Times New Roman" w:hAnsi="Arial" w:cs="Arial"/>
          <w:color w:val="222222"/>
          <w:sz w:val="19"/>
          <w:szCs w:val="19"/>
        </w:rPr>
        <w:t>Gynecol</w:t>
      </w:r>
      <w:proofErr w:type="spellEnd"/>
      <w:r w:rsidRPr="006A6628">
        <w:rPr>
          <w:rFonts w:ascii="Arial" w:eastAsia="Times New Roman" w:hAnsi="Arial" w:cs="Arial"/>
          <w:color w:val="222222"/>
          <w:sz w:val="19"/>
          <w:szCs w:val="19"/>
        </w:rPr>
        <w:t xml:space="preserve"> 2009; 114: 386-08.  Reaffirmed 2013.</w:t>
      </w:r>
      <w:r w:rsidRPr="006A6628">
        <w:rPr>
          <w:rFonts w:ascii="Arial" w:eastAsia="Times New Roman" w:hAnsi="Arial" w:cs="Arial"/>
          <w:color w:val="222222"/>
          <w:sz w:val="19"/>
          <w:szCs w:val="19"/>
        </w:rPr>
        <w:br/>
        <w:t xml:space="preserve">9.        McKenna D, Ester JB, </w:t>
      </w:r>
      <w:proofErr w:type="spellStart"/>
      <w:r w:rsidRPr="006A6628">
        <w:rPr>
          <w:rFonts w:ascii="Arial" w:eastAsia="Times New Roman" w:hAnsi="Arial" w:cs="Arial"/>
          <w:color w:val="222222"/>
          <w:sz w:val="19"/>
          <w:szCs w:val="19"/>
        </w:rPr>
        <w:t>Proffit</w:t>
      </w:r>
      <w:proofErr w:type="spellEnd"/>
      <w:r w:rsidRPr="006A6628">
        <w:rPr>
          <w:rFonts w:ascii="Arial" w:eastAsia="Times New Roman" w:hAnsi="Arial" w:cs="Arial"/>
          <w:color w:val="222222"/>
          <w:sz w:val="19"/>
          <w:szCs w:val="19"/>
        </w:rPr>
        <w:t xml:space="preserve"> M, Waddell K. “Misoprostol outpatient cervical ripening without subsequent induction of labor: a randomized trial.” </w:t>
      </w:r>
      <w:proofErr w:type="spellStart"/>
      <w:r w:rsidRPr="006A6628">
        <w:rPr>
          <w:rFonts w:ascii="Arial" w:eastAsia="Times New Roman" w:hAnsi="Arial" w:cs="Arial"/>
          <w:color w:val="222222"/>
          <w:sz w:val="19"/>
          <w:szCs w:val="19"/>
        </w:rPr>
        <w:t>Obstet</w:t>
      </w:r>
      <w:proofErr w:type="spellEnd"/>
      <w:r w:rsidRPr="006A6628">
        <w:rPr>
          <w:rFonts w:ascii="Arial" w:eastAsia="Times New Roman" w:hAnsi="Arial" w:cs="Arial"/>
          <w:color w:val="222222"/>
          <w:sz w:val="19"/>
          <w:szCs w:val="19"/>
        </w:rPr>
        <w:t xml:space="preserve"> </w:t>
      </w:r>
      <w:proofErr w:type="spellStart"/>
      <w:r w:rsidRPr="006A6628">
        <w:rPr>
          <w:rFonts w:ascii="Arial" w:eastAsia="Times New Roman" w:hAnsi="Arial" w:cs="Arial"/>
          <w:color w:val="222222"/>
          <w:sz w:val="19"/>
          <w:szCs w:val="19"/>
        </w:rPr>
        <w:t>Gynecol</w:t>
      </w:r>
      <w:proofErr w:type="spellEnd"/>
      <w:r w:rsidRPr="006A6628">
        <w:rPr>
          <w:rFonts w:ascii="Arial" w:eastAsia="Times New Roman" w:hAnsi="Arial" w:cs="Arial"/>
          <w:color w:val="222222"/>
          <w:sz w:val="19"/>
          <w:szCs w:val="19"/>
        </w:rPr>
        <w:t>, 2004; 104: 579-84.</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b/>
          <w:bCs/>
          <w:color w:val="222222"/>
          <w:sz w:val="19"/>
          <w:szCs w:val="19"/>
        </w:rPr>
        <w:t>RELATED DOCUMENTS</w:t>
      </w:r>
      <w:r w:rsidRPr="006A6628">
        <w:rPr>
          <w:rFonts w:ascii="Arial" w:eastAsia="Times New Roman" w:hAnsi="Arial" w:cs="Arial"/>
          <w:color w:val="222222"/>
          <w:sz w:val="19"/>
          <w:szCs w:val="19"/>
        </w:rPr>
        <w:t> </w:t>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2A0A6D75" w14:textId="77777777" w:rsidTr="006A6628">
        <w:trPr>
          <w:trHeight w:val="160"/>
        </w:trPr>
        <w:tc>
          <w:tcPr>
            <w:tcW w:w="5000" w:type="pct"/>
            <w:tcBorders>
              <w:top w:val="single" w:sz="2" w:space="0" w:color="000000"/>
              <w:left w:val="single" w:sz="2" w:space="0" w:color="000000"/>
              <w:bottom w:val="single" w:sz="2" w:space="0" w:color="000000"/>
              <w:right w:val="single" w:sz="2" w:space="0" w:color="000000"/>
            </w:tcBorders>
            <w:shd w:val="clear" w:color="auto" w:fill="800000"/>
            <w:tcMar>
              <w:top w:w="0" w:type="dxa"/>
              <w:left w:w="0" w:type="dxa"/>
              <w:bottom w:w="0" w:type="dxa"/>
              <w:right w:w="0" w:type="dxa"/>
            </w:tcMar>
            <w:hideMark/>
          </w:tcPr>
          <w:p w14:paraId="53D4E963" w14:textId="77777777" w:rsidR="006A6628" w:rsidRPr="006A6628" w:rsidRDefault="006A6628" w:rsidP="006A6628">
            <w:pPr>
              <w:rPr>
                <w:rFonts w:ascii="Arial" w:eastAsia="Times New Roman" w:hAnsi="Arial" w:cs="Arial"/>
                <w:sz w:val="16"/>
                <w:szCs w:val="20"/>
              </w:rPr>
            </w:pPr>
          </w:p>
        </w:tc>
      </w:tr>
    </w:tbl>
    <w:p w14:paraId="6D15E9F5"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b/>
          <w:bCs/>
          <w:color w:val="222222"/>
          <w:sz w:val="19"/>
          <w:szCs w:val="19"/>
        </w:rPr>
        <w:t>GENERAL INFORMATION</w:t>
      </w:r>
      <w:r w:rsidRPr="006A6628">
        <w:rPr>
          <w:rFonts w:ascii="Arial" w:eastAsia="Times New Roman" w:hAnsi="Arial" w:cs="Arial"/>
          <w:color w:val="222222"/>
          <w:sz w:val="19"/>
          <w:szCs w:val="19"/>
        </w:rPr>
        <w:t> </w:t>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057EE67D" w14:textId="77777777" w:rsidTr="006A6628">
        <w:trPr>
          <w:trHeight w:val="160"/>
        </w:trPr>
        <w:tc>
          <w:tcPr>
            <w:tcW w:w="5000" w:type="pct"/>
            <w:tcBorders>
              <w:top w:val="single" w:sz="2" w:space="0" w:color="000000"/>
              <w:left w:val="single" w:sz="2" w:space="0" w:color="000000"/>
              <w:bottom w:val="single" w:sz="2" w:space="0" w:color="000000"/>
              <w:right w:val="single" w:sz="2" w:space="0" w:color="000000"/>
            </w:tcBorders>
            <w:shd w:val="clear" w:color="auto" w:fill="800000"/>
            <w:tcMar>
              <w:top w:w="0" w:type="dxa"/>
              <w:left w:w="0" w:type="dxa"/>
              <w:bottom w:w="0" w:type="dxa"/>
              <w:right w:w="0" w:type="dxa"/>
            </w:tcMar>
            <w:hideMark/>
          </w:tcPr>
          <w:p w14:paraId="7CBD4EA4" w14:textId="77777777" w:rsidR="006A6628" w:rsidRPr="006A6628" w:rsidRDefault="006A6628" w:rsidP="006A6628">
            <w:pPr>
              <w:rPr>
                <w:rFonts w:ascii="Arial" w:eastAsia="Times New Roman" w:hAnsi="Arial" w:cs="Arial"/>
                <w:sz w:val="16"/>
                <w:szCs w:val="20"/>
              </w:rPr>
            </w:pPr>
          </w:p>
        </w:tc>
      </w:tr>
    </w:tbl>
    <w:p w14:paraId="705CF517"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4"/>
        <w:gridCol w:w="1961"/>
        <w:gridCol w:w="84"/>
        <w:gridCol w:w="2449"/>
        <w:gridCol w:w="84"/>
        <w:gridCol w:w="1449"/>
        <w:gridCol w:w="85"/>
        <w:gridCol w:w="2450"/>
      </w:tblGrid>
      <w:tr w:rsidR="006A6628" w:rsidRPr="006A6628" w14:paraId="5981DFEB" w14:textId="77777777" w:rsidTr="006A6628">
        <w:trPr>
          <w:trHeight w:val="160"/>
        </w:trPr>
        <w:tc>
          <w:tcPr>
            <w:tcW w:w="50" w:type="pct"/>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39336F96" w14:textId="77777777" w:rsidR="006A6628" w:rsidRPr="006A6628" w:rsidRDefault="006A6628" w:rsidP="006A6628">
            <w:pPr>
              <w:rPr>
                <w:rFonts w:ascii="Arial" w:eastAsia="Times New Roman" w:hAnsi="Arial" w:cs="Arial"/>
                <w:sz w:val="16"/>
                <w:szCs w:val="20"/>
              </w:rPr>
            </w:pPr>
          </w:p>
        </w:tc>
        <w:tc>
          <w:tcPr>
            <w:tcW w:w="1050" w:type="pct"/>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054CADA1"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Status:</w:t>
            </w:r>
          </w:p>
        </w:tc>
        <w:tc>
          <w:tcPr>
            <w:tcW w:w="50" w:type="pc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9ADAEAF" w14:textId="77777777" w:rsidR="006A6628" w:rsidRPr="006A6628" w:rsidRDefault="006A6628" w:rsidP="006A6628">
            <w:pPr>
              <w:rPr>
                <w:rFonts w:ascii="Arial" w:eastAsia="Times New Roman" w:hAnsi="Arial" w:cs="Arial"/>
                <w:sz w:val="16"/>
                <w:szCs w:val="20"/>
              </w:rPr>
            </w:pPr>
          </w:p>
        </w:tc>
        <w:tc>
          <w:tcPr>
            <w:tcW w:w="1350" w:type="pc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7136E6D"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Approved</w:t>
            </w:r>
          </w:p>
        </w:tc>
        <w:tc>
          <w:tcPr>
            <w:tcW w:w="50" w:type="pct"/>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4F80394B" w14:textId="77777777" w:rsidR="006A6628" w:rsidRPr="006A6628" w:rsidRDefault="006A6628" w:rsidP="006A6628">
            <w:pPr>
              <w:rPr>
                <w:rFonts w:ascii="Arial" w:eastAsia="Times New Roman" w:hAnsi="Arial" w:cs="Arial"/>
                <w:sz w:val="16"/>
                <w:szCs w:val="20"/>
              </w:rPr>
            </w:pPr>
          </w:p>
        </w:tc>
        <w:tc>
          <w:tcPr>
            <w:tcW w:w="800" w:type="pct"/>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0522C918"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Effective Date:</w:t>
            </w:r>
          </w:p>
        </w:tc>
        <w:tc>
          <w:tcPr>
            <w:tcW w:w="50" w:type="pc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2893ED7" w14:textId="77777777" w:rsidR="006A6628" w:rsidRPr="006A6628" w:rsidRDefault="006A6628" w:rsidP="006A6628">
            <w:pPr>
              <w:rPr>
                <w:rFonts w:ascii="Arial" w:eastAsia="Times New Roman" w:hAnsi="Arial" w:cs="Arial"/>
                <w:sz w:val="16"/>
                <w:szCs w:val="20"/>
              </w:rPr>
            </w:pPr>
          </w:p>
        </w:tc>
        <w:tc>
          <w:tcPr>
            <w:tcW w:w="1350" w:type="pc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63C7C86"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12/14/2015</w:t>
            </w:r>
          </w:p>
        </w:tc>
      </w:tr>
      <w:tr w:rsidR="006A6628" w:rsidRPr="006A6628" w14:paraId="1A01F2B8"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6781FE6"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96C991E"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63AD03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952B049"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441C659"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A631866"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6ABF99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E93DFEA" w14:textId="77777777" w:rsidR="006A6628" w:rsidRPr="006A6628" w:rsidRDefault="006A6628" w:rsidP="006A6628">
            <w:pPr>
              <w:rPr>
                <w:rFonts w:ascii="Arial" w:eastAsia="Times New Roman" w:hAnsi="Arial" w:cs="Arial"/>
                <w:sz w:val="16"/>
                <w:szCs w:val="20"/>
              </w:rPr>
            </w:pPr>
          </w:p>
        </w:tc>
      </w:tr>
      <w:tr w:rsidR="006A6628" w:rsidRPr="006A6628" w14:paraId="0F5197C4"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57C94719"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5FB96425"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ID Number: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643C60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1107AD8"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OB-01 B</w:t>
            </w: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00457FD2"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05455C7B"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Version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0F98F36"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0F7D922"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2</w:t>
            </w:r>
          </w:p>
        </w:tc>
      </w:tr>
      <w:tr w:rsidR="006A6628" w:rsidRPr="006A6628" w14:paraId="69B016AA"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837E656"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38C4A8F"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815173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C281C2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9CBE99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ECD2A42"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FDB0F1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1DF2C38" w14:textId="77777777" w:rsidR="006A6628" w:rsidRPr="006A6628" w:rsidRDefault="006A6628" w:rsidP="006A6628">
            <w:pPr>
              <w:rPr>
                <w:rFonts w:ascii="Arial" w:eastAsia="Times New Roman" w:hAnsi="Arial" w:cs="Arial"/>
                <w:sz w:val="16"/>
                <w:szCs w:val="20"/>
              </w:rPr>
            </w:pPr>
          </w:p>
        </w:tc>
      </w:tr>
      <w:tr w:rsidR="006A6628" w:rsidRPr="006A6628" w14:paraId="025AA31E"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23626C0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11D7F59C"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Chapter Name: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4F60EB5" w14:textId="77777777" w:rsidR="006A6628" w:rsidRPr="006A6628" w:rsidRDefault="006A6628" w:rsidP="006A6628">
            <w:pPr>
              <w:rPr>
                <w:rFonts w:ascii="Arial" w:eastAsia="Times New Roman" w:hAnsi="Arial" w:cs="Arial"/>
                <w:sz w:val="16"/>
                <w:szCs w:val="20"/>
              </w:rPr>
            </w:pPr>
          </w:p>
        </w:tc>
        <w:tc>
          <w:tcPr>
            <w:tcW w:w="0" w:type="auto"/>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E9EEF9A" w14:textId="77777777" w:rsidR="006A6628" w:rsidRPr="006A6628" w:rsidRDefault="006A6628" w:rsidP="006A6628">
            <w:pPr>
              <w:rPr>
                <w:rFonts w:ascii="Arial" w:eastAsia="Times New Roman" w:hAnsi="Arial" w:cs="Arial"/>
                <w:sz w:val="16"/>
                <w:szCs w:val="20"/>
              </w:rPr>
            </w:pPr>
          </w:p>
        </w:tc>
      </w:tr>
      <w:tr w:rsidR="006A6628" w:rsidRPr="006A6628" w14:paraId="75D93544"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A3063E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D7582F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02F0E3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841E3F9"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2D38893"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82B2B59"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B2AB4CC"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066E12C" w14:textId="77777777" w:rsidR="006A6628" w:rsidRPr="006A6628" w:rsidRDefault="006A6628" w:rsidP="006A6628">
            <w:pPr>
              <w:rPr>
                <w:rFonts w:ascii="Arial" w:eastAsia="Times New Roman" w:hAnsi="Arial" w:cs="Arial"/>
                <w:sz w:val="16"/>
                <w:szCs w:val="20"/>
              </w:rPr>
            </w:pPr>
          </w:p>
        </w:tc>
      </w:tr>
      <w:tr w:rsidR="006A6628" w:rsidRPr="006A6628" w14:paraId="2E93BC4D"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28DD5B3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4F00AA23"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Topic:</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78BEF28" w14:textId="77777777" w:rsidR="006A6628" w:rsidRPr="006A6628" w:rsidRDefault="006A6628" w:rsidP="006A6628">
            <w:pPr>
              <w:rPr>
                <w:rFonts w:ascii="Arial" w:eastAsia="Times New Roman" w:hAnsi="Arial" w:cs="Arial"/>
                <w:sz w:val="16"/>
                <w:szCs w:val="20"/>
              </w:rPr>
            </w:pPr>
          </w:p>
        </w:tc>
        <w:tc>
          <w:tcPr>
            <w:tcW w:w="0" w:type="auto"/>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E62C7B1" w14:textId="77777777" w:rsidR="006A6628" w:rsidRPr="006A6628" w:rsidRDefault="006A6628" w:rsidP="006A6628">
            <w:pPr>
              <w:rPr>
                <w:rFonts w:ascii="Arial" w:eastAsia="Times New Roman" w:hAnsi="Arial" w:cs="Arial"/>
                <w:sz w:val="16"/>
                <w:szCs w:val="20"/>
              </w:rPr>
            </w:pPr>
          </w:p>
        </w:tc>
      </w:tr>
      <w:tr w:rsidR="006A6628" w:rsidRPr="006A6628" w14:paraId="258FF157"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4AB9822"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5F83919"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EB371E3"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524EA6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4416290"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B6EEC6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97101B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F5AB2F4" w14:textId="77777777" w:rsidR="006A6628" w:rsidRPr="006A6628" w:rsidRDefault="006A6628" w:rsidP="006A6628">
            <w:pPr>
              <w:rPr>
                <w:rFonts w:ascii="Arial" w:eastAsia="Times New Roman" w:hAnsi="Arial" w:cs="Arial"/>
                <w:sz w:val="16"/>
                <w:szCs w:val="20"/>
              </w:rPr>
            </w:pPr>
          </w:p>
        </w:tc>
      </w:tr>
      <w:tr w:rsidR="006A6628" w:rsidRPr="006A6628" w14:paraId="760AABC1"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1E2A6103"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5AD871BA"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Department: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C8FCAE8" w14:textId="77777777" w:rsidR="006A6628" w:rsidRPr="006A6628" w:rsidRDefault="006A6628" w:rsidP="006A6628">
            <w:pPr>
              <w:rPr>
                <w:rFonts w:ascii="Arial" w:eastAsia="Times New Roman" w:hAnsi="Arial" w:cs="Arial"/>
                <w:sz w:val="16"/>
                <w:szCs w:val="20"/>
              </w:rPr>
            </w:pPr>
          </w:p>
        </w:tc>
        <w:tc>
          <w:tcPr>
            <w:tcW w:w="0" w:type="auto"/>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367F40E"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Nursing - Birthing Center</w:t>
            </w:r>
          </w:p>
        </w:tc>
      </w:tr>
      <w:tr w:rsidR="006A6628" w:rsidRPr="006A6628" w14:paraId="6BDF84EE"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26BEFE5"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1DEE38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ECAB85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0F7BDC"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70F8A0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A2FFA8E"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DABC74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095A71" w14:textId="77777777" w:rsidR="006A6628" w:rsidRPr="006A6628" w:rsidRDefault="006A6628" w:rsidP="006A6628">
            <w:pPr>
              <w:rPr>
                <w:rFonts w:ascii="Arial" w:eastAsia="Times New Roman" w:hAnsi="Arial" w:cs="Arial"/>
                <w:sz w:val="16"/>
                <w:szCs w:val="20"/>
              </w:rPr>
            </w:pPr>
          </w:p>
        </w:tc>
      </w:tr>
      <w:tr w:rsidR="006A6628" w:rsidRPr="006A6628" w14:paraId="2232C103"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78FB7D3E"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6300AB2F"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 xml:space="preserve">Contributing </w:t>
            </w:r>
            <w:proofErr w:type="spellStart"/>
            <w:r w:rsidRPr="006A6628">
              <w:rPr>
                <w:rFonts w:ascii="Arial" w:eastAsia="Times New Roman" w:hAnsi="Arial" w:cs="Arial"/>
                <w:b/>
                <w:bCs/>
                <w:sz w:val="20"/>
                <w:szCs w:val="20"/>
              </w:rPr>
              <w:t>Depts</w:t>
            </w:r>
            <w:proofErr w:type="spellEnd"/>
            <w:r w:rsidRPr="006A6628">
              <w:rPr>
                <w:rFonts w:ascii="Arial" w:eastAsia="Times New Roman" w:hAnsi="Arial" w:cs="Arial"/>
                <w:b/>
                <w:bCs/>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BB40710" w14:textId="77777777" w:rsidR="006A6628" w:rsidRPr="006A6628" w:rsidRDefault="006A6628" w:rsidP="006A6628">
            <w:pPr>
              <w:rPr>
                <w:rFonts w:ascii="Arial" w:eastAsia="Times New Roman" w:hAnsi="Arial" w:cs="Arial"/>
                <w:sz w:val="16"/>
                <w:szCs w:val="20"/>
              </w:rPr>
            </w:pPr>
          </w:p>
        </w:tc>
        <w:tc>
          <w:tcPr>
            <w:tcW w:w="0" w:type="auto"/>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47FB440" w14:textId="77777777" w:rsidR="006A6628" w:rsidRPr="006A6628" w:rsidRDefault="006A6628" w:rsidP="006A6628">
            <w:pPr>
              <w:rPr>
                <w:rFonts w:ascii="Arial" w:eastAsia="Times New Roman" w:hAnsi="Arial" w:cs="Arial"/>
                <w:sz w:val="16"/>
                <w:szCs w:val="20"/>
              </w:rPr>
            </w:pPr>
          </w:p>
        </w:tc>
      </w:tr>
      <w:tr w:rsidR="006A6628" w:rsidRPr="006A6628" w14:paraId="243CB0D0"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02347B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481FC3C"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9B666B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58F1095"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C7C1472"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F293DF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C3B23C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3D8EE5A" w14:textId="77777777" w:rsidR="006A6628" w:rsidRPr="006A6628" w:rsidRDefault="006A6628" w:rsidP="006A6628">
            <w:pPr>
              <w:rPr>
                <w:rFonts w:ascii="Arial" w:eastAsia="Times New Roman" w:hAnsi="Arial" w:cs="Arial"/>
                <w:sz w:val="16"/>
                <w:szCs w:val="20"/>
              </w:rPr>
            </w:pPr>
          </w:p>
        </w:tc>
      </w:tr>
      <w:tr w:rsidR="006A6628" w:rsidRPr="006A6628" w14:paraId="3A2B3874"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4757E54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12043DE6"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Scope / Applicability</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7C75741" w14:textId="77777777" w:rsidR="006A6628" w:rsidRPr="006A6628" w:rsidRDefault="006A6628" w:rsidP="006A6628">
            <w:pPr>
              <w:rPr>
                <w:rFonts w:ascii="Arial" w:eastAsia="Times New Roman" w:hAnsi="Arial" w:cs="Arial"/>
                <w:sz w:val="16"/>
                <w:szCs w:val="20"/>
              </w:rPr>
            </w:pPr>
          </w:p>
        </w:tc>
        <w:tc>
          <w:tcPr>
            <w:tcW w:w="0" w:type="auto"/>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56B2304" w14:textId="77777777" w:rsidR="006A6628" w:rsidRPr="006A6628" w:rsidRDefault="006A6628" w:rsidP="006A6628">
            <w:pPr>
              <w:rPr>
                <w:rFonts w:ascii="Arial" w:eastAsia="Times New Roman" w:hAnsi="Arial" w:cs="Arial"/>
                <w:sz w:val="16"/>
                <w:szCs w:val="20"/>
              </w:rPr>
            </w:pPr>
          </w:p>
        </w:tc>
      </w:tr>
      <w:tr w:rsidR="006A6628" w:rsidRPr="006A6628" w14:paraId="64A9682C"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721987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EE34E18"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137DD6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73503A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7DA95C2"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7B0023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652413E"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C9D96A8" w14:textId="77777777" w:rsidR="006A6628" w:rsidRPr="006A6628" w:rsidRDefault="006A6628" w:rsidP="006A6628">
            <w:pPr>
              <w:rPr>
                <w:rFonts w:ascii="Arial" w:eastAsia="Times New Roman" w:hAnsi="Arial" w:cs="Arial"/>
                <w:sz w:val="16"/>
                <w:szCs w:val="20"/>
              </w:rPr>
            </w:pPr>
          </w:p>
        </w:tc>
      </w:tr>
      <w:tr w:rsidR="006A6628" w:rsidRPr="006A6628" w14:paraId="2973A24A"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520E423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080F16D8"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Audience: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5EC0E4C" w14:textId="77777777" w:rsidR="006A6628" w:rsidRPr="006A6628" w:rsidRDefault="006A6628" w:rsidP="006A6628">
            <w:pPr>
              <w:rPr>
                <w:rFonts w:ascii="Arial" w:eastAsia="Times New Roman" w:hAnsi="Arial" w:cs="Arial"/>
                <w:sz w:val="16"/>
                <w:szCs w:val="20"/>
              </w:rPr>
            </w:pPr>
          </w:p>
        </w:tc>
        <w:tc>
          <w:tcPr>
            <w:tcW w:w="0" w:type="auto"/>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BED4B6F"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Employees</w:t>
            </w:r>
          </w:p>
        </w:tc>
      </w:tr>
      <w:tr w:rsidR="006A6628" w:rsidRPr="006A6628" w14:paraId="66027A6C"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425B6D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5E52F26"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44EB01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9C6B37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6E04DF3"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61B3C1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DDC3B6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4DEE4F6" w14:textId="77777777" w:rsidR="006A6628" w:rsidRPr="006A6628" w:rsidRDefault="006A6628" w:rsidP="006A6628">
            <w:pPr>
              <w:rPr>
                <w:rFonts w:ascii="Arial" w:eastAsia="Times New Roman" w:hAnsi="Arial" w:cs="Arial"/>
                <w:sz w:val="16"/>
                <w:szCs w:val="20"/>
              </w:rPr>
            </w:pPr>
          </w:p>
        </w:tc>
      </w:tr>
      <w:tr w:rsidR="006A6628" w:rsidRPr="006A6628" w14:paraId="657D3607"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081F5EE6"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368852FB" w14:textId="77777777" w:rsidR="006A6628" w:rsidRPr="006A6628" w:rsidRDefault="006A6628" w:rsidP="006A6628">
            <w:pPr>
              <w:spacing w:line="160" w:lineRule="atLeast"/>
              <w:rPr>
                <w:rFonts w:ascii="Arial" w:eastAsia="Times New Roman" w:hAnsi="Arial" w:cs="Arial"/>
                <w:sz w:val="20"/>
                <w:szCs w:val="20"/>
              </w:rPr>
            </w:pPr>
            <w:proofErr w:type="spellStart"/>
            <w:r w:rsidRPr="006A6628">
              <w:rPr>
                <w:rFonts w:ascii="Arial" w:eastAsia="Times New Roman" w:hAnsi="Arial" w:cs="Arial"/>
                <w:b/>
                <w:bCs/>
                <w:sz w:val="20"/>
                <w:szCs w:val="20"/>
              </w:rPr>
              <w:t>Supercedes</w:t>
            </w:r>
            <w:proofErr w:type="spellEnd"/>
            <w:r w:rsidRPr="006A6628">
              <w:rPr>
                <w:rFonts w:ascii="Arial" w:eastAsia="Times New Roman" w:hAnsi="Arial" w:cs="Arial"/>
                <w:b/>
                <w:bCs/>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6E42E38" w14:textId="77777777" w:rsidR="006A6628" w:rsidRPr="006A6628" w:rsidRDefault="006A6628" w:rsidP="006A6628">
            <w:pPr>
              <w:rPr>
                <w:rFonts w:ascii="Arial" w:eastAsia="Times New Roman" w:hAnsi="Arial" w:cs="Arial"/>
                <w:sz w:val="16"/>
                <w:szCs w:val="20"/>
              </w:rPr>
            </w:pPr>
          </w:p>
        </w:tc>
        <w:tc>
          <w:tcPr>
            <w:tcW w:w="0" w:type="auto"/>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ACDD551"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Cervical Ripening - Outpatient Process, 7/28/2014, Reviewed w/ No Changes - 12/13/2015</w:t>
            </w:r>
          </w:p>
        </w:tc>
      </w:tr>
      <w:tr w:rsidR="006A6628" w:rsidRPr="006A6628" w14:paraId="20901391"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F8E8DD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AE3A4F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A3CF60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FB7DB23"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B5EB112"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ABBD3D5"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BA797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6D33B1F" w14:textId="77777777" w:rsidR="006A6628" w:rsidRPr="006A6628" w:rsidRDefault="006A6628" w:rsidP="006A6628">
            <w:pPr>
              <w:rPr>
                <w:rFonts w:ascii="Arial" w:eastAsia="Times New Roman" w:hAnsi="Arial" w:cs="Arial"/>
                <w:sz w:val="16"/>
                <w:szCs w:val="20"/>
              </w:rPr>
            </w:pPr>
          </w:p>
        </w:tc>
      </w:tr>
      <w:tr w:rsidR="006A6628" w:rsidRPr="006A6628" w14:paraId="440B4AE0"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524B6C8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328F627E"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Owner/Originator(s):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1C24162"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4531CA0"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Faye Weir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37DFFA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63C5F8EB"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Review Date: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CEB393F"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6FFF29D"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color w:val="000000"/>
                <w:sz w:val="20"/>
                <w:szCs w:val="20"/>
              </w:rPr>
              <w:t>12/14/2018</w:t>
            </w:r>
          </w:p>
        </w:tc>
      </w:tr>
      <w:tr w:rsidR="006A6628" w:rsidRPr="006A6628" w14:paraId="16AF7BFB"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0044450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5619B6BF"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384B1F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4AC9DF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D34AD8C"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18F2C32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43498C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0D64204" w14:textId="77777777" w:rsidR="006A6628" w:rsidRPr="006A6628" w:rsidRDefault="006A6628" w:rsidP="006A6628">
            <w:pPr>
              <w:rPr>
                <w:rFonts w:ascii="Arial" w:eastAsia="Times New Roman" w:hAnsi="Arial" w:cs="Arial"/>
                <w:sz w:val="16"/>
                <w:szCs w:val="20"/>
              </w:rPr>
            </w:pPr>
          </w:p>
        </w:tc>
      </w:tr>
      <w:tr w:rsidR="006A6628" w:rsidRPr="006A6628" w14:paraId="1F9A72A1"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65340E9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191FCE55"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Keywords: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43B5DCE"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48A9A41"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 xml:space="preserve">Cervical ripening; outpatient; induction; misoprostol; </w:t>
            </w:r>
            <w:proofErr w:type="spellStart"/>
            <w:r w:rsidRPr="006A6628">
              <w:rPr>
                <w:rFonts w:ascii="Arial" w:eastAsia="Times New Roman" w:hAnsi="Arial" w:cs="Arial"/>
                <w:sz w:val="20"/>
                <w:szCs w:val="20"/>
              </w:rPr>
              <w:t>cytotec</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44C712C"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C2"/>
            <w:tcMar>
              <w:top w:w="0" w:type="dxa"/>
              <w:left w:w="0" w:type="dxa"/>
              <w:bottom w:w="0" w:type="dxa"/>
              <w:right w:w="0" w:type="dxa"/>
            </w:tcMar>
            <w:hideMark/>
          </w:tcPr>
          <w:p w14:paraId="339EA2B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7D51886"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51AC8E8" w14:textId="77777777" w:rsidR="006A6628" w:rsidRPr="006A6628" w:rsidRDefault="006A6628" w:rsidP="006A6628">
            <w:pPr>
              <w:rPr>
                <w:rFonts w:ascii="Arial" w:eastAsia="Times New Roman" w:hAnsi="Arial" w:cs="Arial"/>
                <w:sz w:val="16"/>
                <w:szCs w:val="20"/>
              </w:rPr>
            </w:pPr>
          </w:p>
        </w:tc>
      </w:tr>
    </w:tbl>
    <w:p w14:paraId="032C5831"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4FDE548B" w14:textId="77777777" w:rsidTr="006A6628">
        <w:trPr>
          <w:trHeight w:val="160"/>
        </w:trPr>
        <w:tc>
          <w:tcPr>
            <w:tcW w:w="5000" w:type="pct"/>
            <w:tcBorders>
              <w:top w:val="single" w:sz="2" w:space="0" w:color="000000"/>
              <w:left w:val="single" w:sz="2" w:space="0" w:color="000000"/>
              <w:bottom w:val="single" w:sz="2" w:space="0" w:color="000000"/>
              <w:right w:val="single" w:sz="2" w:space="0" w:color="000000"/>
            </w:tcBorders>
            <w:shd w:val="clear" w:color="auto" w:fill="4F4F4F"/>
            <w:tcMar>
              <w:top w:w="0" w:type="dxa"/>
              <w:left w:w="0" w:type="dxa"/>
              <w:bottom w:w="0" w:type="dxa"/>
              <w:right w:w="0" w:type="dxa"/>
            </w:tcMar>
            <w:hideMark/>
          </w:tcPr>
          <w:p w14:paraId="57401123" w14:textId="77777777" w:rsidR="006A6628" w:rsidRPr="006A6628" w:rsidRDefault="006A6628" w:rsidP="006A6628">
            <w:pPr>
              <w:rPr>
                <w:rFonts w:ascii="Arial" w:eastAsia="Times New Roman" w:hAnsi="Arial" w:cs="Arial"/>
                <w:sz w:val="16"/>
                <w:szCs w:val="20"/>
              </w:rPr>
            </w:pPr>
          </w:p>
        </w:tc>
      </w:tr>
    </w:tbl>
    <w:p w14:paraId="1F5E2766"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1059"/>
        <w:gridCol w:w="1500"/>
        <w:gridCol w:w="3529"/>
        <w:gridCol w:w="1235"/>
        <w:gridCol w:w="1323"/>
      </w:tblGrid>
      <w:tr w:rsidR="006A6628" w:rsidRPr="006A6628" w14:paraId="45108C4C" w14:textId="77777777" w:rsidTr="006A6628">
        <w:trPr>
          <w:trHeight w:val="160"/>
        </w:trPr>
        <w:tc>
          <w:tcPr>
            <w:tcW w:w="60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A1A31CB" w14:textId="77777777" w:rsidR="006A6628" w:rsidRPr="006A6628" w:rsidRDefault="006A6628" w:rsidP="006A6628">
            <w:pPr>
              <w:rPr>
                <w:rFonts w:ascii="Arial" w:eastAsia="Times New Roman" w:hAnsi="Arial" w:cs="Arial"/>
                <w:sz w:val="16"/>
                <w:szCs w:val="20"/>
              </w:rPr>
            </w:pPr>
          </w:p>
        </w:tc>
        <w:tc>
          <w:tcPr>
            <w:tcW w:w="8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9F52C5C" w14:textId="77777777" w:rsidR="006A6628" w:rsidRPr="006A6628" w:rsidRDefault="006A6628" w:rsidP="006A6628">
            <w:pPr>
              <w:rPr>
                <w:rFonts w:ascii="Arial" w:eastAsia="Times New Roman" w:hAnsi="Arial" w:cs="Arial"/>
                <w:sz w:val="16"/>
                <w:szCs w:val="20"/>
              </w:rPr>
            </w:pPr>
          </w:p>
        </w:tc>
        <w:tc>
          <w:tcPr>
            <w:tcW w:w="200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DB3A9C1" w14:textId="77777777" w:rsidR="006A6628" w:rsidRPr="006A6628" w:rsidRDefault="006A6628" w:rsidP="006A6628">
            <w:pPr>
              <w:rPr>
                <w:rFonts w:ascii="Arial" w:eastAsia="Times New Roman" w:hAnsi="Arial" w:cs="Arial"/>
                <w:sz w:val="16"/>
                <w:szCs w:val="20"/>
              </w:rPr>
            </w:pPr>
          </w:p>
        </w:tc>
        <w:tc>
          <w:tcPr>
            <w:tcW w:w="70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0840CE8" w14:textId="77777777" w:rsidR="006A6628" w:rsidRPr="006A6628" w:rsidRDefault="006A6628" w:rsidP="006A6628">
            <w:pPr>
              <w:rPr>
                <w:rFonts w:ascii="Arial" w:eastAsia="Times New Roman" w:hAnsi="Arial" w:cs="Arial"/>
                <w:sz w:val="16"/>
                <w:szCs w:val="20"/>
              </w:rPr>
            </w:pPr>
          </w:p>
        </w:tc>
        <w:tc>
          <w:tcPr>
            <w:tcW w:w="7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4EFF82C" w14:textId="77777777" w:rsidR="006A6628" w:rsidRPr="006A6628" w:rsidRDefault="006A6628" w:rsidP="006A6628">
            <w:pPr>
              <w:rPr>
                <w:rFonts w:ascii="Arial" w:eastAsia="Times New Roman" w:hAnsi="Arial" w:cs="Arial"/>
                <w:sz w:val="16"/>
                <w:szCs w:val="20"/>
              </w:rPr>
            </w:pPr>
          </w:p>
        </w:tc>
      </w:tr>
      <w:tr w:rsidR="006A6628" w:rsidRPr="006A6628" w14:paraId="64FE1CD6"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6E3110F"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br/>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01230EE"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4EC1B6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0E47C35"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87E0122" w14:textId="77777777" w:rsidR="006A6628" w:rsidRPr="006A6628" w:rsidRDefault="006A6628" w:rsidP="006A6628">
            <w:pPr>
              <w:rPr>
                <w:rFonts w:ascii="Arial" w:eastAsia="Times New Roman" w:hAnsi="Arial" w:cs="Arial"/>
                <w:sz w:val="16"/>
                <w:szCs w:val="20"/>
              </w:rPr>
            </w:pPr>
          </w:p>
        </w:tc>
      </w:tr>
      <w:tr w:rsidR="006A6628" w:rsidRPr="006A6628" w14:paraId="42FD2C3C"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3A53362" w14:textId="77777777" w:rsidR="006A6628" w:rsidRPr="006A6628" w:rsidRDefault="006A6628" w:rsidP="006A6628">
            <w:pPr>
              <w:rPr>
                <w:rFonts w:ascii="Arial" w:eastAsia="Times New Roman" w:hAnsi="Arial" w:cs="Arial"/>
                <w:sz w:val="16"/>
                <w:szCs w:val="20"/>
              </w:rPr>
            </w:pPr>
          </w:p>
        </w:tc>
        <w:tc>
          <w:tcPr>
            <w:tcW w:w="0" w:type="auto"/>
            <w:hideMark/>
          </w:tcPr>
          <w:p w14:paraId="73B0F0D1" w14:textId="77777777" w:rsidR="006A6628" w:rsidRPr="006A6628" w:rsidRDefault="006A6628" w:rsidP="006A6628">
            <w:pPr>
              <w:rPr>
                <w:rFonts w:ascii="Times New Roman" w:eastAsia="Times New Roman" w:hAnsi="Times New Roman" w:cs="Times New Roman"/>
                <w:sz w:val="20"/>
                <w:szCs w:val="20"/>
              </w:rPr>
            </w:pPr>
          </w:p>
        </w:tc>
        <w:tc>
          <w:tcPr>
            <w:tcW w:w="0" w:type="auto"/>
            <w:hideMark/>
          </w:tcPr>
          <w:p w14:paraId="6613874C" w14:textId="77777777" w:rsidR="006A6628" w:rsidRPr="006A6628" w:rsidRDefault="006A6628" w:rsidP="006A6628">
            <w:pPr>
              <w:rPr>
                <w:rFonts w:ascii="Times New Roman" w:eastAsia="Times New Roman" w:hAnsi="Times New Roman" w:cs="Times New Roman"/>
                <w:sz w:val="20"/>
                <w:szCs w:val="20"/>
              </w:rPr>
            </w:pPr>
          </w:p>
        </w:tc>
        <w:tc>
          <w:tcPr>
            <w:tcW w:w="0" w:type="auto"/>
            <w:hideMark/>
          </w:tcPr>
          <w:p w14:paraId="163A54BD" w14:textId="77777777" w:rsidR="006A6628" w:rsidRPr="006A6628" w:rsidRDefault="006A6628" w:rsidP="006A6628">
            <w:pPr>
              <w:rPr>
                <w:rFonts w:ascii="Times New Roman" w:eastAsia="Times New Roman" w:hAnsi="Times New Roman" w:cs="Times New Roman"/>
                <w:sz w:val="20"/>
                <w:szCs w:val="20"/>
              </w:rPr>
            </w:pPr>
          </w:p>
        </w:tc>
        <w:tc>
          <w:tcPr>
            <w:tcW w:w="0" w:type="auto"/>
            <w:hideMark/>
          </w:tcPr>
          <w:p w14:paraId="56D1A03D" w14:textId="77777777" w:rsidR="006A6628" w:rsidRPr="006A6628" w:rsidRDefault="006A6628" w:rsidP="006A6628">
            <w:pPr>
              <w:rPr>
                <w:rFonts w:ascii="Times New Roman" w:eastAsia="Times New Roman" w:hAnsi="Times New Roman" w:cs="Times New Roman"/>
                <w:sz w:val="20"/>
                <w:szCs w:val="20"/>
              </w:rPr>
            </w:pPr>
          </w:p>
        </w:tc>
      </w:tr>
    </w:tbl>
    <w:p w14:paraId="0596DF1B" w14:textId="77777777" w:rsidR="006A6628" w:rsidRPr="006A6628" w:rsidRDefault="006A6628" w:rsidP="006A6628">
      <w:pPr>
        <w:rPr>
          <w:rFonts w:ascii="Times" w:eastAsia="Times New Roman" w:hAnsi="Times" w:cs="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7"/>
        <w:gridCol w:w="2250"/>
        <w:gridCol w:w="2658"/>
        <w:gridCol w:w="2183"/>
        <w:gridCol w:w="1538"/>
      </w:tblGrid>
      <w:tr w:rsidR="006A6628" w:rsidRPr="006A6628" w14:paraId="2A97FACC"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7F9B21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1325821"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Approved By:</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36BA4CE"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 xml:space="preserve">Kimberly </w:t>
            </w:r>
            <w:proofErr w:type="spellStart"/>
            <w:r w:rsidRPr="006A6628">
              <w:rPr>
                <w:rFonts w:ascii="Arial" w:eastAsia="Times New Roman" w:hAnsi="Arial" w:cs="Arial"/>
                <w:sz w:val="20"/>
                <w:szCs w:val="20"/>
              </w:rPr>
              <w:t>Dever</w:t>
            </w:r>
            <w:proofErr w:type="spellEnd"/>
            <w:r w:rsidRPr="006A6628">
              <w:rPr>
                <w:rFonts w:ascii="Arial" w:eastAsia="Times New Roman" w:hAnsi="Arial" w:cs="Arial"/>
                <w:sz w:val="20"/>
                <w:szCs w:val="20"/>
              </w:rPr>
              <w:t xml:space="preserve"> MD</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39E633A"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Approval Date:</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E519398"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12/13/2015</w:t>
            </w:r>
          </w:p>
        </w:tc>
      </w:tr>
      <w:tr w:rsidR="006A6628" w:rsidRPr="006A6628" w14:paraId="65AA3D5F"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37D300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4A7BD02"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MD Comments: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20AA802"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DDC03A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C842C75" w14:textId="77777777" w:rsidR="006A6628" w:rsidRPr="006A6628" w:rsidRDefault="006A6628" w:rsidP="006A6628">
            <w:pPr>
              <w:rPr>
                <w:rFonts w:ascii="Arial" w:eastAsia="Times New Roman" w:hAnsi="Arial" w:cs="Arial"/>
                <w:sz w:val="16"/>
                <w:szCs w:val="20"/>
              </w:rPr>
            </w:pPr>
          </w:p>
        </w:tc>
      </w:tr>
      <w:tr w:rsidR="006A6628" w:rsidRPr="006A6628" w14:paraId="219DF341"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F01608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2E1981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393FA1B"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EEE922F"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16B04A5" w14:textId="77777777" w:rsidR="006A6628" w:rsidRPr="006A6628" w:rsidRDefault="006A6628" w:rsidP="006A6628">
            <w:pPr>
              <w:rPr>
                <w:rFonts w:ascii="Arial" w:eastAsia="Times New Roman" w:hAnsi="Arial" w:cs="Arial"/>
                <w:sz w:val="16"/>
                <w:szCs w:val="20"/>
              </w:rPr>
            </w:pPr>
          </w:p>
        </w:tc>
      </w:tr>
    </w:tbl>
    <w:p w14:paraId="4389B8C3"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t>- </w:t>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3681CAF3" w14:textId="77777777" w:rsidTr="006A6628">
        <w:trPr>
          <w:trHeight w:val="160"/>
        </w:trPr>
        <w:tc>
          <w:tcPr>
            <w:tcW w:w="5000" w:type="pct"/>
            <w:tcBorders>
              <w:top w:val="single" w:sz="2" w:space="0" w:color="000000"/>
              <w:left w:val="single" w:sz="2" w:space="0" w:color="000000"/>
              <w:bottom w:val="single" w:sz="2" w:space="0" w:color="000000"/>
              <w:right w:val="single" w:sz="2" w:space="0" w:color="000000"/>
            </w:tcBorders>
            <w:shd w:val="clear" w:color="auto" w:fill="4F4F4F"/>
            <w:tcMar>
              <w:top w:w="0" w:type="dxa"/>
              <w:left w:w="0" w:type="dxa"/>
              <w:bottom w:w="0" w:type="dxa"/>
              <w:right w:w="0" w:type="dxa"/>
            </w:tcMar>
            <w:hideMark/>
          </w:tcPr>
          <w:p w14:paraId="1581FADE" w14:textId="77777777" w:rsidR="006A6628" w:rsidRPr="006A6628" w:rsidRDefault="006A6628" w:rsidP="006A6628">
            <w:pPr>
              <w:rPr>
                <w:rFonts w:ascii="Arial" w:eastAsia="Times New Roman" w:hAnsi="Arial" w:cs="Arial"/>
                <w:sz w:val="16"/>
                <w:szCs w:val="20"/>
              </w:rPr>
            </w:pPr>
          </w:p>
        </w:tc>
      </w:tr>
    </w:tbl>
    <w:p w14:paraId="2C539DE0"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1070"/>
        <w:gridCol w:w="1693"/>
        <w:gridCol w:w="3298"/>
        <w:gridCol w:w="1248"/>
        <w:gridCol w:w="1337"/>
      </w:tblGrid>
      <w:tr w:rsidR="006A6628" w:rsidRPr="006A6628" w14:paraId="49A4F00E" w14:textId="77777777" w:rsidTr="006A6628">
        <w:trPr>
          <w:trHeight w:val="160"/>
        </w:trPr>
        <w:tc>
          <w:tcPr>
            <w:tcW w:w="60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EDC6CCC" w14:textId="77777777" w:rsidR="006A6628" w:rsidRPr="006A6628" w:rsidRDefault="006A6628" w:rsidP="006A6628">
            <w:pPr>
              <w:rPr>
                <w:rFonts w:ascii="Arial" w:eastAsia="Times New Roman" w:hAnsi="Arial" w:cs="Arial"/>
                <w:sz w:val="16"/>
                <w:szCs w:val="20"/>
              </w:rPr>
            </w:pPr>
          </w:p>
        </w:tc>
        <w:tc>
          <w:tcPr>
            <w:tcW w:w="9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946A076" w14:textId="77777777" w:rsidR="006A6628" w:rsidRPr="006A6628" w:rsidRDefault="006A6628" w:rsidP="006A6628">
            <w:pPr>
              <w:rPr>
                <w:rFonts w:ascii="Arial" w:eastAsia="Times New Roman" w:hAnsi="Arial" w:cs="Arial"/>
                <w:sz w:val="16"/>
                <w:szCs w:val="20"/>
              </w:rPr>
            </w:pPr>
          </w:p>
        </w:tc>
        <w:tc>
          <w:tcPr>
            <w:tcW w:w="18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58673E1" w14:textId="77777777" w:rsidR="006A6628" w:rsidRPr="006A6628" w:rsidRDefault="006A6628" w:rsidP="006A6628">
            <w:pPr>
              <w:rPr>
                <w:rFonts w:ascii="Arial" w:eastAsia="Times New Roman" w:hAnsi="Arial" w:cs="Arial"/>
                <w:sz w:val="16"/>
                <w:szCs w:val="20"/>
              </w:rPr>
            </w:pPr>
          </w:p>
        </w:tc>
        <w:tc>
          <w:tcPr>
            <w:tcW w:w="70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218749A" w14:textId="77777777" w:rsidR="006A6628" w:rsidRPr="006A6628" w:rsidRDefault="006A6628" w:rsidP="006A6628">
            <w:pPr>
              <w:rPr>
                <w:rFonts w:ascii="Arial" w:eastAsia="Times New Roman" w:hAnsi="Arial" w:cs="Arial"/>
                <w:sz w:val="16"/>
                <w:szCs w:val="20"/>
              </w:rPr>
            </w:pPr>
          </w:p>
        </w:tc>
        <w:tc>
          <w:tcPr>
            <w:tcW w:w="7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F3E0725" w14:textId="77777777" w:rsidR="006A6628" w:rsidRPr="006A6628" w:rsidRDefault="006A6628" w:rsidP="006A6628">
            <w:pPr>
              <w:rPr>
                <w:rFonts w:ascii="Arial" w:eastAsia="Times New Roman" w:hAnsi="Arial" w:cs="Arial"/>
                <w:sz w:val="16"/>
                <w:szCs w:val="20"/>
              </w:rPr>
            </w:pPr>
          </w:p>
        </w:tc>
      </w:tr>
      <w:tr w:rsidR="006A6628" w:rsidRPr="006A6628" w14:paraId="2452BEE4" w14:textId="77777777" w:rsidTr="006A6628">
        <w:trPr>
          <w:trHeight w:val="160"/>
        </w:trPr>
        <w:tc>
          <w:tcPr>
            <w:tcW w:w="0" w:type="auto"/>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79A2C37"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br/>
            </w:r>
          </w:p>
        </w:tc>
        <w:tc>
          <w:tcPr>
            <w:tcW w:w="0" w:type="auto"/>
            <w:hideMark/>
          </w:tcPr>
          <w:p w14:paraId="509F1FBB" w14:textId="77777777" w:rsidR="006A6628" w:rsidRPr="006A6628" w:rsidRDefault="006A6628" w:rsidP="006A6628">
            <w:pPr>
              <w:rPr>
                <w:rFonts w:ascii="Times New Roman" w:eastAsia="Times New Roman" w:hAnsi="Times New Roman" w:cs="Times New Roman"/>
                <w:sz w:val="20"/>
                <w:szCs w:val="20"/>
              </w:rPr>
            </w:pPr>
          </w:p>
        </w:tc>
        <w:tc>
          <w:tcPr>
            <w:tcW w:w="0" w:type="auto"/>
            <w:hideMark/>
          </w:tcPr>
          <w:p w14:paraId="03913C67" w14:textId="77777777" w:rsidR="006A6628" w:rsidRPr="006A6628" w:rsidRDefault="006A6628" w:rsidP="006A6628">
            <w:pPr>
              <w:rPr>
                <w:rFonts w:ascii="Times New Roman" w:eastAsia="Times New Roman" w:hAnsi="Times New Roman" w:cs="Times New Roman"/>
                <w:sz w:val="20"/>
                <w:szCs w:val="20"/>
              </w:rPr>
            </w:pPr>
          </w:p>
        </w:tc>
        <w:tc>
          <w:tcPr>
            <w:tcW w:w="0" w:type="auto"/>
            <w:hideMark/>
          </w:tcPr>
          <w:p w14:paraId="75C6EB5E" w14:textId="77777777" w:rsidR="006A6628" w:rsidRPr="006A6628" w:rsidRDefault="006A6628" w:rsidP="006A6628">
            <w:pPr>
              <w:rPr>
                <w:rFonts w:ascii="Times New Roman" w:eastAsia="Times New Roman" w:hAnsi="Times New Roman" w:cs="Times New Roman"/>
                <w:sz w:val="20"/>
                <w:szCs w:val="20"/>
              </w:rPr>
            </w:pPr>
          </w:p>
        </w:tc>
        <w:tc>
          <w:tcPr>
            <w:tcW w:w="0" w:type="auto"/>
            <w:hideMark/>
          </w:tcPr>
          <w:p w14:paraId="6B407EF0" w14:textId="77777777" w:rsidR="006A6628" w:rsidRPr="006A6628" w:rsidRDefault="006A6628" w:rsidP="006A6628">
            <w:pPr>
              <w:rPr>
                <w:rFonts w:ascii="Times New Roman" w:eastAsia="Times New Roman" w:hAnsi="Times New Roman" w:cs="Times New Roman"/>
                <w:sz w:val="20"/>
                <w:szCs w:val="20"/>
              </w:rPr>
            </w:pPr>
          </w:p>
        </w:tc>
      </w:tr>
      <w:tr w:rsidR="006A6628" w:rsidRPr="006A6628" w14:paraId="6CC20D01" w14:textId="77777777" w:rsidTr="006A6628">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571F47E" w14:textId="77777777" w:rsidR="006A6628" w:rsidRPr="006A6628" w:rsidRDefault="006A6628" w:rsidP="006A6628">
            <w:pPr>
              <w:rPr>
                <w:rFonts w:ascii="Arial" w:eastAsia="Times New Roman" w:hAnsi="Arial" w:cs="Arial"/>
                <w:sz w:val="20"/>
                <w:szCs w:val="20"/>
              </w:rPr>
            </w:pPr>
          </w:p>
        </w:tc>
        <w:tc>
          <w:tcPr>
            <w:tcW w:w="0" w:type="auto"/>
            <w:vAlign w:val="center"/>
            <w:hideMark/>
          </w:tcPr>
          <w:p w14:paraId="4FBD3A13" w14:textId="77777777" w:rsidR="006A6628" w:rsidRPr="006A6628" w:rsidRDefault="006A6628" w:rsidP="006A6628">
            <w:pPr>
              <w:rPr>
                <w:rFonts w:ascii="Times" w:eastAsia="Times New Roman" w:hAnsi="Times" w:cs="Times New Roman"/>
                <w:sz w:val="20"/>
                <w:szCs w:val="20"/>
              </w:rPr>
            </w:pPr>
          </w:p>
        </w:tc>
        <w:tc>
          <w:tcPr>
            <w:tcW w:w="0" w:type="auto"/>
            <w:vAlign w:val="center"/>
            <w:hideMark/>
          </w:tcPr>
          <w:p w14:paraId="2969BC80" w14:textId="77777777" w:rsidR="006A6628" w:rsidRPr="006A6628" w:rsidRDefault="006A6628" w:rsidP="006A6628">
            <w:pPr>
              <w:rPr>
                <w:rFonts w:ascii="Times New Roman" w:eastAsia="Times New Roman" w:hAnsi="Times New Roman" w:cs="Times New Roman"/>
                <w:sz w:val="20"/>
                <w:szCs w:val="20"/>
              </w:rPr>
            </w:pPr>
          </w:p>
        </w:tc>
        <w:tc>
          <w:tcPr>
            <w:tcW w:w="0" w:type="auto"/>
            <w:vAlign w:val="center"/>
            <w:hideMark/>
          </w:tcPr>
          <w:p w14:paraId="58714CEC" w14:textId="77777777" w:rsidR="006A6628" w:rsidRPr="006A6628" w:rsidRDefault="006A6628" w:rsidP="006A6628">
            <w:pPr>
              <w:rPr>
                <w:rFonts w:ascii="Times New Roman" w:eastAsia="Times New Roman" w:hAnsi="Times New Roman" w:cs="Times New Roman"/>
                <w:sz w:val="20"/>
                <w:szCs w:val="20"/>
              </w:rPr>
            </w:pPr>
          </w:p>
        </w:tc>
        <w:tc>
          <w:tcPr>
            <w:tcW w:w="0" w:type="auto"/>
            <w:vAlign w:val="center"/>
            <w:hideMark/>
          </w:tcPr>
          <w:p w14:paraId="0DA0CC15" w14:textId="77777777" w:rsidR="006A6628" w:rsidRPr="006A6628" w:rsidRDefault="006A6628" w:rsidP="006A6628">
            <w:pPr>
              <w:rPr>
                <w:rFonts w:ascii="Times New Roman" w:eastAsia="Times New Roman" w:hAnsi="Times New Roman" w:cs="Times New Roman"/>
                <w:sz w:val="20"/>
                <w:szCs w:val="20"/>
              </w:rPr>
            </w:pPr>
          </w:p>
        </w:tc>
      </w:tr>
    </w:tbl>
    <w:p w14:paraId="6B79D539" w14:textId="77777777" w:rsidR="006A6628" w:rsidRPr="006A6628" w:rsidRDefault="006A6628" w:rsidP="006A6628">
      <w:pPr>
        <w:rPr>
          <w:rFonts w:ascii="Times" w:eastAsia="Times New Roman" w:hAnsi="Times" w:cs="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1"/>
        <w:gridCol w:w="1389"/>
        <w:gridCol w:w="4820"/>
        <w:gridCol w:w="1420"/>
        <w:gridCol w:w="1006"/>
      </w:tblGrid>
      <w:tr w:rsidR="006A6628" w:rsidRPr="006A6628" w14:paraId="588C325D" w14:textId="77777777" w:rsidTr="006A6628">
        <w:trPr>
          <w:trHeight w:val="160"/>
        </w:trPr>
        <w:tc>
          <w:tcPr>
            <w:tcW w:w="0" w:type="auto"/>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BF5E145"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2CFEDC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DE0EF36"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945CC40"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5B980BA" w14:textId="77777777" w:rsidR="006A6628" w:rsidRPr="006A6628" w:rsidRDefault="006A6628" w:rsidP="006A6628">
            <w:pPr>
              <w:rPr>
                <w:rFonts w:ascii="Arial" w:eastAsia="Times New Roman" w:hAnsi="Arial" w:cs="Arial"/>
                <w:sz w:val="16"/>
                <w:szCs w:val="20"/>
              </w:rPr>
            </w:pPr>
          </w:p>
        </w:tc>
      </w:tr>
      <w:tr w:rsidR="006A6628" w:rsidRPr="006A6628" w14:paraId="0E1864FC" w14:textId="77777777" w:rsidTr="006A6628">
        <w:trPr>
          <w:trHeight w:val="1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5750EFA"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46CC4398"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Approved By:</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549EF98"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Faye Weir, RN-C, MSN, Director Parent Child Services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07957BD"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Approval Date:</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A27A601"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12/14/2015</w:t>
            </w:r>
          </w:p>
        </w:tc>
      </w:tr>
      <w:tr w:rsidR="006A6628" w:rsidRPr="006A6628" w14:paraId="05651A48" w14:textId="77777777" w:rsidTr="006A6628">
        <w:trPr>
          <w:trHeight w:val="1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8E6CB3F"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910167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93AA04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922D354"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811FEB5" w14:textId="77777777" w:rsidR="006A6628" w:rsidRPr="006A6628" w:rsidRDefault="006A6628" w:rsidP="006A6628">
            <w:pPr>
              <w:rPr>
                <w:rFonts w:ascii="Arial" w:eastAsia="Times New Roman" w:hAnsi="Arial" w:cs="Arial"/>
                <w:sz w:val="16"/>
                <w:szCs w:val="20"/>
              </w:rPr>
            </w:pPr>
          </w:p>
        </w:tc>
      </w:tr>
      <w:tr w:rsidR="006A6628" w:rsidRPr="006A6628" w14:paraId="31FBF12C" w14:textId="77777777" w:rsidTr="006A6628">
        <w:trPr>
          <w:trHeight w:val="1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2ADFC4C"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7B4B5AB"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Effective Date:</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AAA3498"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12/14/2015</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EB06C08"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Review Date:</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12D4D51"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color w:val="000000"/>
                <w:sz w:val="20"/>
                <w:szCs w:val="20"/>
              </w:rPr>
              <w:t>12/14/2018</w:t>
            </w:r>
          </w:p>
        </w:tc>
      </w:tr>
      <w:tr w:rsidR="006A6628" w:rsidRPr="006A6628" w14:paraId="35592A41"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95FE92C"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F80FBB3"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244DD23"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6E4831F"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7871C66" w14:textId="77777777" w:rsidR="006A6628" w:rsidRPr="006A6628" w:rsidRDefault="006A6628" w:rsidP="006A6628">
            <w:pPr>
              <w:rPr>
                <w:rFonts w:ascii="Arial" w:eastAsia="Times New Roman" w:hAnsi="Arial" w:cs="Arial"/>
                <w:sz w:val="16"/>
                <w:szCs w:val="20"/>
              </w:rPr>
            </w:pPr>
          </w:p>
        </w:tc>
      </w:tr>
    </w:tbl>
    <w:p w14:paraId="38B6D81B"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1C887AEC" w14:textId="77777777" w:rsidTr="006A6628">
        <w:trPr>
          <w:trHeight w:val="160"/>
        </w:trPr>
        <w:tc>
          <w:tcPr>
            <w:tcW w:w="5000" w:type="pct"/>
            <w:tcBorders>
              <w:top w:val="single" w:sz="2" w:space="0" w:color="000000"/>
              <w:left w:val="single" w:sz="2" w:space="0" w:color="000000"/>
              <w:bottom w:val="single" w:sz="2" w:space="0" w:color="000000"/>
              <w:right w:val="single" w:sz="2" w:space="0" w:color="000000"/>
            </w:tcBorders>
            <w:shd w:val="clear" w:color="auto" w:fill="4F4F4F"/>
            <w:tcMar>
              <w:top w:w="0" w:type="dxa"/>
              <w:left w:w="0" w:type="dxa"/>
              <w:bottom w:w="0" w:type="dxa"/>
              <w:right w:w="0" w:type="dxa"/>
            </w:tcMar>
            <w:hideMark/>
          </w:tcPr>
          <w:p w14:paraId="598D4B24" w14:textId="77777777" w:rsidR="006A6628" w:rsidRPr="006A6628" w:rsidRDefault="006A6628" w:rsidP="006A6628">
            <w:pPr>
              <w:rPr>
                <w:rFonts w:ascii="Arial" w:eastAsia="Times New Roman" w:hAnsi="Arial" w:cs="Arial"/>
                <w:sz w:val="16"/>
                <w:szCs w:val="20"/>
              </w:rPr>
            </w:pPr>
          </w:p>
        </w:tc>
      </w:tr>
    </w:tbl>
    <w:p w14:paraId="3AE07737"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p>
    <w:tbl>
      <w:tblPr>
        <w:tblW w:w="5000" w:type="pct"/>
        <w:tblCellMar>
          <w:top w:w="15" w:type="dxa"/>
          <w:left w:w="15" w:type="dxa"/>
          <w:bottom w:w="15" w:type="dxa"/>
          <w:right w:w="15" w:type="dxa"/>
        </w:tblCellMar>
        <w:tblLook w:val="04A0" w:firstRow="1" w:lastRow="0" w:firstColumn="1" w:lastColumn="0" w:noHBand="0" w:noVBand="1"/>
      </w:tblPr>
      <w:tblGrid>
        <w:gridCol w:w="8646"/>
      </w:tblGrid>
      <w:tr w:rsidR="006A6628" w:rsidRPr="006A6628" w14:paraId="4FFBC114" w14:textId="77777777" w:rsidTr="006A6628">
        <w:trPr>
          <w:trHeight w:val="184"/>
        </w:trPr>
        <w:tc>
          <w:tcPr>
            <w:tcW w:w="600" w:type="pct"/>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504A5DC2" w14:textId="77777777" w:rsidR="006A6628" w:rsidRPr="006A6628" w:rsidRDefault="006A6628" w:rsidP="006A6628">
            <w:pPr>
              <w:rPr>
                <w:rFonts w:ascii="Arial" w:eastAsia="Times New Roman" w:hAnsi="Arial" w:cs="Arial"/>
                <w:sz w:val="16"/>
                <w:szCs w:val="20"/>
              </w:rPr>
            </w:pPr>
          </w:p>
        </w:tc>
      </w:tr>
      <w:tr w:rsidR="006A6628" w:rsidRPr="006A6628" w14:paraId="74F0A74D" w14:textId="77777777" w:rsidTr="006A6628">
        <w:trPr>
          <w:trHeight w:val="18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82B01CC" w14:textId="77777777" w:rsidR="006A6628" w:rsidRPr="006A6628" w:rsidRDefault="006A6628" w:rsidP="006A6628">
            <w:pPr>
              <w:rPr>
                <w:rFonts w:ascii="Arial" w:eastAsia="Times New Roman" w:hAnsi="Arial" w:cs="Arial"/>
                <w:sz w:val="16"/>
                <w:szCs w:val="20"/>
              </w:rPr>
            </w:pPr>
          </w:p>
        </w:tc>
      </w:tr>
    </w:tbl>
    <w:p w14:paraId="4F4F3E04" w14:textId="77777777" w:rsidR="006A6628" w:rsidRPr="006A6628" w:rsidRDefault="006A6628" w:rsidP="006A6628">
      <w:pPr>
        <w:rPr>
          <w:rFonts w:ascii="Times" w:eastAsia="Times New Roman" w:hAnsi="Times" w:cs="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048"/>
        <w:gridCol w:w="2533"/>
        <w:gridCol w:w="5065"/>
      </w:tblGrid>
      <w:tr w:rsidR="006A6628" w:rsidRPr="006A6628" w14:paraId="43F36941" w14:textId="77777777" w:rsidTr="006A6628">
        <w:trPr>
          <w:trHeight w:val="160"/>
        </w:trPr>
        <w:tc>
          <w:tcPr>
            <w:tcW w:w="600" w:type="pct"/>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E0B01D6" w14:textId="77777777" w:rsidR="006A6628" w:rsidRPr="006A6628" w:rsidRDefault="006A6628" w:rsidP="006A6628">
            <w:pPr>
              <w:rPr>
                <w:rFonts w:ascii="Arial" w:eastAsia="Times New Roman" w:hAnsi="Arial" w:cs="Arial"/>
                <w:sz w:val="16"/>
                <w:szCs w:val="20"/>
              </w:rPr>
            </w:pPr>
          </w:p>
        </w:tc>
        <w:tc>
          <w:tcPr>
            <w:tcW w:w="145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752352C"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Person(s) to Notify:</w:t>
            </w:r>
          </w:p>
        </w:tc>
        <w:tc>
          <w:tcPr>
            <w:tcW w:w="290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7CECF4C"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sz w:val="20"/>
                <w:szCs w:val="20"/>
              </w:rPr>
              <w:t>Faye Weir</w:t>
            </w:r>
          </w:p>
        </w:tc>
      </w:tr>
      <w:tr w:rsidR="006A6628" w:rsidRPr="006A6628" w14:paraId="1FE37E09" w14:textId="77777777" w:rsidTr="006A6628">
        <w:trPr>
          <w:trHeight w:val="1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C19C9DD"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46208AA"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Notification Schedule:</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FF33275" w14:textId="77777777" w:rsidR="006A6628" w:rsidRPr="006A6628" w:rsidRDefault="006A6628" w:rsidP="006A6628">
            <w:pPr>
              <w:rPr>
                <w:rFonts w:ascii="Arial" w:eastAsia="Times New Roman" w:hAnsi="Arial" w:cs="Arial"/>
                <w:sz w:val="16"/>
                <w:szCs w:val="20"/>
              </w:rPr>
            </w:pPr>
          </w:p>
        </w:tc>
      </w:tr>
      <w:tr w:rsidR="006A6628" w:rsidRPr="006A6628" w14:paraId="3B965ACE" w14:textId="77777777" w:rsidTr="006A6628">
        <w:trPr>
          <w:trHeight w:val="1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566D657"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539B4DB"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When Policy Has Expired, Notify:</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1DBE2BE" w14:textId="77777777" w:rsidR="006A6628" w:rsidRPr="006A6628" w:rsidRDefault="006A6628" w:rsidP="006A6628">
            <w:pPr>
              <w:rPr>
                <w:rFonts w:ascii="Arial" w:eastAsia="Times New Roman" w:hAnsi="Arial" w:cs="Arial"/>
                <w:sz w:val="16"/>
                <w:szCs w:val="20"/>
              </w:rPr>
            </w:pPr>
          </w:p>
        </w:tc>
      </w:tr>
      <w:tr w:rsidR="006A6628" w:rsidRPr="006A6628" w14:paraId="50A55A32" w14:textId="77777777" w:rsidTr="006A6628">
        <w:trPr>
          <w:trHeight w:val="16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12266B21" w14:textId="77777777" w:rsidR="006A6628" w:rsidRPr="006A6628" w:rsidRDefault="006A6628" w:rsidP="006A6628">
            <w:pPr>
              <w:rPr>
                <w:rFonts w:ascii="Arial" w:eastAsia="Times New Roman" w:hAnsi="Arial" w:cs="Arial"/>
                <w:sz w:val="16"/>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6E87FBE"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b/>
                <w:bCs/>
                <w:sz w:val="20"/>
                <w:szCs w:val="20"/>
              </w:rPr>
              <w:t>Notification Dates:</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0079830E" w14:textId="77777777" w:rsidR="006A6628" w:rsidRPr="006A6628" w:rsidRDefault="006A6628" w:rsidP="006A6628">
            <w:pPr>
              <w:spacing w:line="160" w:lineRule="atLeast"/>
              <w:rPr>
                <w:rFonts w:ascii="Arial" w:eastAsia="Times New Roman" w:hAnsi="Arial" w:cs="Arial"/>
                <w:sz w:val="20"/>
                <w:szCs w:val="20"/>
              </w:rPr>
            </w:pPr>
            <w:r w:rsidRPr="006A6628">
              <w:rPr>
                <w:rFonts w:ascii="Arial" w:eastAsia="Times New Roman" w:hAnsi="Arial" w:cs="Arial"/>
                <w:color w:val="000000"/>
                <w:sz w:val="20"/>
                <w:szCs w:val="20"/>
              </w:rPr>
              <w:t>11/14/2018,  10/15/2018,  09/15/2018,  </w:t>
            </w:r>
          </w:p>
        </w:tc>
      </w:tr>
    </w:tbl>
    <w:p w14:paraId="72820D26" w14:textId="77777777" w:rsidR="006A6628" w:rsidRPr="006A6628" w:rsidRDefault="006A6628" w:rsidP="006A6628">
      <w:pPr>
        <w:shd w:val="clear" w:color="auto" w:fill="FFFFFF"/>
        <w:rPr>
          <w:rFonts w:ascii="Arial" w:eastAsia="Times New Roman" w:hAnsi="Arial" w:cs="Arial"/>
          <w:color w:val="222222"/>
          <w:sz w:val="19"/>
          <w:szCs w:val="19"/>
        </w:rPr>
      </w:pP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r w:rsidRPr="006A6628">
        <w:rPr>
          <w:rFonts w:ascii="Arial" w:eastAsia="Times New Roman" w:hAnsi="Arial" w:cs="Arial"/>
          <w:color w:val="222222"/>
          <w:sz w:val="19"/>
          <w:szCs w:val="19"/>
        </w:rPr>
        <w:br/>
      </w:r>
    </w:p>
    <w:p w14:paraId="023F6012" w14:textId="77777777" w:rsidR="004361EF" w:rsidRDefault="004361EF">
      <w:r>
        <w:br w:type="page"/>
      </w:r>
    </w:p>
    <w:p w14:paraId="5455505B" w14:textId="77777777" w:rsidR="00B8269F" w:rsidRDefault="004361EF">
      <w:pPr>
        <w:rPr>
          <w:rFonts w:ascii="Arial" w:hAnsi="Arial" w:cs="Arial"/>
          <w:color w:val="222222"/>
          <w:sz w:val="19"/>
          <w:szCs w:val="19"/>
        </w:rPr>
      </w:pPr>
      <w:r w:rsidRPr="006A6628">
        <w:rPr>
          <w:rFonts w:ascii="Arial" w:hAnsi="Arial" w:cs="Arial"/>
          <w:color w:val="222222"/>
          <w:sz w:val="19"/>
          <w:szCs w:val="19"/>
        </w:rPr>
        <w:lastRenderedPageBreak/>
        <w:t>APPENDIX A </w:t>
      </w:r>
    </w:p>
    <w:p w14:paraId="67F88747" w14:textId="77777777" w:rsidR="004361EF" w:rsidRDefault="004361EF">
      <w:pPr>
        <w:rPr>
          <w:rFonts w:ascii="Arial" w:hAnsi="Arial" w:cs="Arial"/>
          <w:color w:val="222222"/>
          <w:sz w:val="19"/>
          <w:szCs w:val="19"/>
        </w:rPr>
      </w:pPr>
    </w:p>
    <w:p w14:paraId="446AA5EE" w14:textId="77777777" w:rsidR="004361EF" w:rsidRDefault="004361EF">
      <w:r>
        <w:rPr>
          <w:noProof/>
        </w:rPr>
        <w:drawing>
          <wp:inline distT="0" distB="0" distL="0" distR="0" wp14:anchorId="049F9B67" wp14:editId="7A197C75">
            <wp:extent cx="5486400" cy="19958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995805"/>
                    </a:xfrm>
                    <a:prstGeom prst="rect">
                      <a:avLst/>
                    </a:prstGeom>
                    <a:noFill/>
                    <a:ln>
                      <a:noFill/>
                    </a:ln>
                  </pic:spPr>
                </pic:pic>
              </a:graphicData>
            </a:graphic>
          </wp:inline>
        </w:drawing>
      </w:r>
    </w:p>
    <w:p w14:paraId="4A6C6DF5" w14:textId="77777777" w:rsidR="004361EF" w:rsidRDefault="004361EF"/>
    <w:p w14:paraId="3CC32952" w14:textId="77777777" w:rsidR="004361EF" w:rsidRDefault="004361EF">
      <w:pPr>
        <w:rPr>
          <w:rFonts w:ascii="Arial" w:eastAsia="Times New Roman" w:hAnsi="Arial" w:cs="Arial"/>
          <w:color w:val="222222"/>
          <w:sz w:val="19"/>
          <w:szCs w:val="19"/>
        </w:rPr>
      </w:pPr>
      <w:r w:rsidRPr="006A6628">
        <w:rPr>
          <w:rFonts w:ascii="Arial" w:eastAsia="Times New Roman" w:hAnsi="Arial" w:cs="Arial"/>
          <w:color w:val="222222"/>
          <w:sz w:val="19"/>
          <w:szCs w:val="19"/>
        </w:rPr>
        <w:t>APPENDIX B</w:t>
      </w:r>
    </w:p>
    <w:p w14:paraId="2614F60C" w14:textId="77777777" w:rsidR="004361EF" w:rsidRDefault="004361EF">
      <w:pPr>
        <w:rPr>
          <w:rFonts w:ascii="Arial" w:eastAsia="Times New Roman" w:hAnsi="Arial" w:cs="Arial"/>
          <w:color w:val="222222"/>
          <w:sz w:val="19"/>
          <w:szCs w:val="19"/>
        </w:rPr>
      </w:pPr>
    </w:p>
    <w:p w14:paraId="0D2FFA3D" w14:textId="77777777" w:rsidR="004361EF" w:rsidRDefault="004361EF">
      <w:r>
        <w:rPr>
          <w:noProof/>
        </w:rPr>
        <w:drawing>
          <wp:inline distT="0" distB="0" distL="0" distR="0" wp14:anchorId="3EC87DA1" wp14:editId="2C885D56">
            <wp:extent cx="5486400" cy="503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030470"/>
                    </a:xfrm>
                    <a:prstGeom prst="rect">
                      <a:avLst/>
                    </a:prstGeom>
                    <a:noFill/>
                    <a:ln>
                      <a:noFill/>
                    </a:ln>
                  </pic:spPr>
                </pic:pic>
              </a:graphicData>
            </a:graphic>
          </wp:inline>
        </w:drawing>
      </w:r>
      <w:bookmarkStart w:id="0" w:name="_GoBack"/>
      <w:bookmarkEnd w:id="0"/>
    </w:p>
    <w:sectPr w:rsidR="004361EF" w:rsidSect="00B826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D4D49"/>
    <w:multiLevelType w:val="multilevel"/>
    <w:tmpl w:val="50FC2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1"/>
    </w:lvlOverride>
  </w:num>
  <w:num w:numId="3">
    <w:abstractNumId w:val="0"/>
    <w:lvlOverride w:ilvl="0"/>
    <w:lvlOverride w:ilvl="1">
      <w:startOverride w:val="1"/>
    </w:lvlOverride>
  </w:num>
  <w:num w:numId="4">
    <w:abstractNumId w:val="0"/>
    <w:lvlOverride w:ilvl="0"/>
    <w:lvlOverride w:ilvl="1">
      <w:startOverride w:val="2"/>
    </w:lvlOverride>
  </w:num>
  <w:num w:numId="5">
    <w:abstractNumId w:val="0"/>
    <w:lvlOverride w:ilvl="0">
      <w:startOverride w:val="2"/>
    </w:lvlOverride>
    <w:lvlOverride w:ilvl="1"/>
  </w:num>
  <w:num w:numId="6">
    <w:abstractNumId w:val="0"/>
    <w:lvlOverride w:ilvl="0"/>
    <w:lvlOverride w:ilvl="1">
      <w:startOverride w:val="1"/>
    </w:lvlOverride>
  </w:num>
  <w:num w:numId="7">
    <w:abstractNumId w:val="0"/>
    <w:lvlOverride w:ilvl="0"/>
    <w:lvlOverride w:ilvl="1">
      <w:startOverride w:val="2"/>
    </w:lvlOverride>
  </w:num>
  <w:num w:numId="8">
    <w:abstractNumId w:val="0"/>
    <w:lvlOverride w:ilvl="0">
      <w:startOverride w:val="3"/>
    </w:lvlOverride>
    <w:lvlOverride w:ilvl="1"/>
  </w:num>
  <w:num w:numId="9">
    <w:abstractNumId w:val="0"/>
    <w:lvlOverride w:ilvl="0"/>
    <w:lvlOverride w:ilvl="1">
      <w:startOverride w:val="1"/>
    </w:lvlOverride>
  </w:num>
  <w:num w:numId="10">
    <w:abstractNumId w:val="0"/>
    <w:lvlOverride w:ilvl="0"/>
    <w:lvlOverride w:ilvl="1">
      <w:startOverride w:val="2"/>
    </w:lvlOverride>
  </w:num>
  <w:num w:numId="11">
    <w:abstractNumId w:val="0"/>
    <w:lvlOverride w:ilvl="0"/>
    <w:lvlOverride w:ilvl="1">
      <w:startOverride w:val="3"/>
    </w:lvlOverride>
  </w:num>
  <w:num w:numId="12">
    <w:abstractNumId w:val="0"/>
    <w:lvlOverride w:ilvl="0"/>
    <w:lvlOverride w:ilvl="1">
      <w:startOverride w:val="4"/>
    </w:lvlOverride>
  </w:num>
  <w:num w:numId="13">
    <w:abstractNumId w:val="0"/>
    <w:lvlOverride w:ilvl="0"/>
    <w:lvlOverride w:ilvl="1">
      <w:startOverride w:val="5"/>
    </w:lvlOverride>
  </w:num>
  <w:num w:numId="14">
    <w:abstractNumId w:val="0"/>
    <w:lvlOverride w:ilvl="0"/>
    <w:lvlOverride w:ilvl="1">
      <w:startOverride w:val="6"/>
    </w:lvlOverride>
  </w:num>
  <w:num w:numId="15">
    <w:abstractNumId w:val="0"/>
    <w:lvlOverride w:ilvl="0"/>
    <w:lvlOverride w:ilvl="1">
      <w:startOverride w:val="7"/>
    </w:lvlOverride>
  </w:num>
  <w:num w:numId="16">
    <w:abstractNumId w:val="0"/>
    <w:lvlOverride w:ilvl="0">
      <w:startOverride w:val="4"/>
    </w:lvlOverride>
    <w:lvlOverride w:ilvl="1"/>
  </w:num>
  <w:num w:numId="17">
    <w:abstractNumId w:val="0"/>
    <w:lvlOverride w:ilvl="0">
      <w:startOverride w:val="5"/>
    </w:lvlOverride>
    <w:lvlOverride w:ilvl="1"/>
  </w:num>
  <w:num w:numId="18">
    <w:abstractNumId w:val="0"/>
    <w:lvlOverride w:ilvl="0">
      <w:startOverride w:val="6"/>
    </w:lvlOverride>
    <w:lvlOverride w:ilvl="1"/>
  </w:num>
  <w:num w:numId="19">
    <w:abstractNumId w:val="0"/>
    <w:lvlOverride w:ilvl="0"/>
    <w:lvlOverride w:ilvl="1">
      <w:startOverride w:val="1"/>
    </w:lvlOverride>
  </w:num>
  <w:num w:numId="20">
    <w:abstractNumId w:val="0"/>
    <w:lvlOverride w:ilvl="0">
      <w:startOverride w:val="7"/>
    </w:lvlOverride>
    <w:lvlOverride w:ilvl="1"/>
  </w:num>
  <w:num w:numId="21">
    <w:abstractNumId w:val="0"/>
    <w:lvlOverride w:ilvl="0">
      <w:startOverride w:val="8"/>
    </w:lvlOverride>
    <w:lvlOverride w:ilvl="1"/>
  </w:num>
  <w:num w:numId="22">
    <w:abstractNumId w:val="0"/>
    <w:lvlOverride w:ilvl="0">
      <w:startOverride w:val="9"/>
    </w:lvlOverride>
    <w:lvlOverride w:ilvl="1"/>
  </w:num>
  <w:num w:numId="23">
    <w:abstractNumId w:val="0"/>
    <w:lvlOverride w:ilvl="0">
      <w:startOverride w:val="10"/>
    </w:lvlOverride>
    <w:lvlOverride w:ilvl="1"/>
  </w:num>
  <w:num w:numId="24">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28"/>
    <w:rsid w:val="004361EF"/>
    <w:rsid w:val="006A6628"/>
    <w:rsid w:val="00B8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4B1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62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941036">
      <w:bodyDiv w:val="1"/>
      <w:marLeft w:val="0"/>
      <w:marRight w:val="0"/>
      <w:marTop w:val="0"/>
      <w:marBottom w:val="0"/>
      <w:divBdr>
        <w:top w:val="none" w:sz="0" w:space="0" w:color="auto"/>
        <w:left w:val="none" w:sz="0" w:space="0" w:color="auto"/>
        <w:bottom w:val="none" w:sz="0" w:space="0" w:color="auto"/>
        <w:right w:val="none" w:sz="0" w:space="0" w:color="auto"/>
      </w:divBdr>
      <w:divsChild>
        <w:div w:id="1802652947">
          <w:marLeft w:val="0"/>
          <w:marRight w:val="0"/>
          <w:marTop w:val="0"/>
          <w:marBottom w:val="0"/>
          <w:divBdr>
            <w:top w:val="none" w:sz="0" w:space="0" w:color="auto"/>
            <w:left w:val="none" w:sz="0" w:space="0" w:color="auto"/>
            <w:bottom w:val="none" w:sz="0" w:space="0" w:color="auto"/>
            <w:right w:val="none" w:sz="0" w:space="0" w:color="auto"/>
          </w:divBdr>
          <w:divsChild>
            <w:div w:id="1662388471">
              <w:marLeft w:val="0"/>
              <w:marRight w:val="0"/>
              <w:marTop w:val="0"/>
              <w:marBottom w:val="0"/>
              <w:divBdr>
                <w:top w:val="none" w:sz="0" w:space="0" w:color="auto"/>
                <w:left w:val="none" w:sz="0" w:space="0" w:color="auto"/>
                <w:bottom w:val="none" w:sz="0" w:space="0" w:color="auto"/>
                <w:right w:val="none" w:sz="0" w:space="0" w:color="auto"/>
              </w:divBdr>
            </w:div>
          </w:divsChild>
        </w:div>
        <w:div w:id="1337423713">
          <w:marLeft w:val="0"/>
          <w:marRight w:val="0"/>
          <w:marTop w:val="0"/>
          <w:marBottom w:val="0"/>
          <w:divBdr>
            <w:top w:val="none" w:sz="0" w:space="0" w:color="auto"/>
            <w:left w:val="none" w:sz="0" w:space="0" w:color="auto"/>
            <w:bottom w:val="none" w:sz="0" w:space="0" w:color="auto"/>
            <w:right w:val="none" w:sz="0" w:space="0" w:color="auto"/>
          </w:divBdr>
          <w:divsChild>
            <w:div w:id="1815827647">
              <w:marLeft w:val="0"/>
              <w:marRight w:val="0"/>
              <w:marTop w:val="0"/>
              <w:marBottom w:val="0"/>
              <w:divBdr>
                <w:top w:val="none" w:sz="0" w:space="0" w:color="auto"/>
                <w:left w:val="none" w:sz="0" w:space="0" w:color="auto"/>
                <w:bottom w:val="none" w:sz="0" w:space="0" w:color="auto"/>
                <w:right w:val="none" w:sz="0" w:space="0" w:color="auto"/>
              </w:divBdr>
            </w:div>
          </w:divsChild>
        </w:div>
        <w:div w:id="383985498">
          <w:marLeft w:val="0"/>
          <w:marRight w:val="0"/>
          <w:marTop w:val="0"/>
          <w:marBottom w:val="0"/>
          <w:divBdr>
            <w:top w:val="none" w:sz="0" w:space="0" w:color="auto"/>
            <w:left w:val="none" w:sz="0" w:space="0" w:color="auto"/>
            <w:bottom w:val="none" w:sz="0" w:space="0" w:color="auto"/>
            <w:right w:val="none" w:sz="0" w:space="0" w:color="auto"/>
          </w:divBdr>
          <w:divsChild>
            <w:div w:id="1250651154">
              <w:marLeft w:val="0"/>
              <w:marRight w:val="0"/>
              <w:marTop w:val="0"/>
              <w:marBottom w:val="0"/>
              <w:divBdr>
                <w:top w:val="none" w:sz="0" w:space="0" w:color="auto"/>
                <w:left w:val="none" w:sz="0" w:space="0" w:color="auto"/>
                <w:bottom w:val="none" w:sz="0" w:space="0" w:color="auto"/>
                <w:right w:val="none" w:sz="0" w:space="0" w:color="auto"/>
              </w:divBdr>
            </w:div>
          </w:divsChild>
        </w:div>
        <w:div w:id="354156749">
          <w:marLeft w:val="0"/>
          <w:marRight w:val="0"/>
          <w:marTop w:val="0"/>
          <w:marBottom w:val="0"/>
          <w:divBdr>
            <w:top w:val="none" w:sz="0" w:space="0" w:color="auto"/>
            <w:left w:val="none" w:sz="0" w:space="0" w:color="auto"/>
            <w:bottom w:val="none" w:sz="0" w:space="0" w:color="auto"/>
            <w:right w:val="none" w:sz="0" w:space="0" w:color="auto"/>
          </w:divBdr>
          <w:divsChild>
            <w:div w:id="113211574">
              <w:marLeft w:val="0"/>
              <w:marRight w:val="0"/>
              <w:marTop w:val="0"/>
              <w:marBottom w:val="0"/>
              <w:divBdr>
                <w:top w:val="none" w:sz="0" w:space="0" w:color="auto"/>
                <w:left w:val="none" w:sz="0" w:space="0" w:color="auto"/>
                <w:bottom w:val="none" w:sz="0" w:space="0" w:color="auto"/>
                <w:right w:val="none" w:sz="0" w:space="0" w:color="auto"/>
              </w:divBdr>
            </w:div>
          </w:divsChild>
        </w:div>
        <w:div w:id="348071915">
          <w:marLeft w:val="0"/>
          <w:marRight w:val="0"/>
          <w:marTop w:val="0"/>
          <w:marBottom w:val="0"/>
          <w:divBdr>
            <w:top w:val="none" w:sz="0" w:space="0" w:color="auto"/>
            <w:left w:val="none" w:sz="0" w:space="0" w:color="auto"/>
            <w:bottom w:val="none" w:sz="0" w:space="0" w:color="auto"/>
            <w:right w:val="none" w:sz="0" w:space="0" w:color="auto"/>
          </w:divBdr>
          <w:divsChild>
            <w:div w:id="813639660">
              <w:marLeft w:val="0"/>
              <w:marRight w:val="0"/>
              <w:marTop w:val="0"/>
              <w:marBottom w:val="0"/>
              <w:divBdr>
                <w:top w:val="none" w:sz="0" w:space="0" w:color="auto"/>
                <w:left w:val="none" w:sz="0" w:space="0" w:color="auto"/>
                <w:bottom w:val="none" w:sz="0" w:space="0" w:color="auto"/>
                <w:right w:val="none" w:sz="0" w:space="0" w:color="auto"/>
              </w:divBdr>
            </w:div>
          </w:divsChild>
        </w:div>
        <w:div w:id="236525949">
          <w:marLeft w:val="0"/>
          <w:marRight w:val="0"/>
          <w:marTop w:val="0"/>
          <w:marBottom w:val="0"/>
          <w:divBdr>
            <w:top w:val="none" w:sz="0" w:space="0" w:color="auto"/>
            <w:left w:val="none" w:sz="0" w:space="0" w:color="auto"/>
            <w:bottom w:val="none" w:sz="0" w:space="0" w:color="auto"/>
            <w:right w:val="none" w:sz="0" w:space="0" w:color="auto"/>
          </w:divBdr>
          <w:divsChild>
            <w:div w:id="1123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9454</Characters>
  <Application>Microsoft Macintosh Word</Application>
  <DocSecurity>0</DocSecurity>
  <Lines>78</Lines>
  <Paragraphs>22</Paragraphs>
  <ScaleCrop>false</ScaleCrop>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chenok</dc:creator>
  <cp:keywords/>
  <dc:description/>
  <cp:lastModifiedBy>Megan Danielson</cp:lastModifiedBy>
  <cp:revision>2</cp:revision>
  <dcterms:created xsi:type="dcterms:W3CDTF">2016-07-10T15:50:00Z</dcterms:created>
  <dcterms:modified xsi:type="dcterms:W3CDTF">2016-07-10T15:50:00Z</dcterms:modified>
</cp:coreProperties>
</file>